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emf" ContentType="image/x-emf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740C0" w:rsidRPr="008B39AC" w:rsidRDefault="00ED6348" w:rsidP="008740C0">
      <w:pPr>
        <w:jc w:val="center"/>
        <w:rPr>
          <w:rFonts w:ascii="Century Gothic" w:hAnsi="Century Gothic"/>
          <w:b/>
          <w:color w:val="1F497D"/>
          <w:sz w:val="28"/>
        </w:rPr>
      </w:pPr>
      <w:r>
        <w:rPr>
          <w:rFonts w:ascii="Century Gothic" w:hAnsi="Century Gothic"/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-111760</wp:posOffset>
            </wp:positionV>
            <wp:extent cx="950595" cy="567055"/>
            <wp:effectExtent l="0" t="0" r="1905" b="4445"/>
            <wp:wrapNone/>
            <wp:docPr id="5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40C0" w:rsidRPr="00BA3221" w:rsidRDefault="008740C0" w:rsidP="008740C0">
      <w:pPr>
        <w:jc w:val="center"/>
        <w:rPr>
          <w:rFonts w:ascii="Century Gothic" w:hAnsi="Century Gothic"/>
          <w:b/>
          <w:color w:val="1F497D"/>
          <w:sz w:val="27"/>
        </w:rPr>
      </w:pPr>
    </w:p>
    <w:p w:rsidR="00CD04A7" w:rsidRPr="00BA3221" w:rsidRDefault="008740C0" w:rsidP="00CD04A7">
      <w:pPr>
        <w:pStyle w:val="Sinespaciado1"/>
        <w:jc w:val="center"/>
        <w:rPr>
          <w:rFonts w:ascii="Century Gothic" w:hAnsi="Century Gothic"/>
          <w:b/>
          <w:sz w:val="27"/>
          <w:szCs w:val="28"/>
        </w:rPr>
      </w:pPr>
      <w:r w:rsidRPr="00BA3221">
        <w:rPr>
          <w:rFonts w:ascii="Century Gothic" w:hAnsi="Century Gothic"/>
          <w:b/>
          <w:sz w:val="27"/>
          <w:szCs w:val="28"/>
        </w:rPr>
        <w:t>LA</w:t>
      </w:r>
      <w:r>
        <w:rPr>
          <w:rFonts w:ascii="Century Gothic" w:hAnsi="Century Gothic"/>
          <w:b/>
          <w:sz w:val="27"/>
          <w:szCs w:val="28"/>
        </w:rPr>
        <w:t xml:space="preserve"> </w:t>
      </w:r>
      <w:r w:rsidR="00A1274A">
        <w:rPr>
          <w:rFonts w:ascii="Century Gothic" w:hAnsi="Century Gothic"/>
          <w:b/>
          <w:sz w:val="27"/>
          <w:szCs w:val="28"/>
        </w:rPr>
        <w:t xml:space="preserve">VARIACIÓN DE PRECIOS </w:t>
      </w:r>
      <w:r>
        <w:rPr>
          <w:rFonts w:ascii="Century Gothic" w:hAnsi="Century Gothic"/>
          <w:b/>
          <w:sz w:val="27"/>
          <w:szCs w:val="28"/>
        </w:rPr>
        <w:t xml:space="preserve">DE ALIMENTOS </w:t>
      </w:r>
      <w:r w:rsidR="00712F3E">
        <w:rPr>
          <w:rFonts w:ascii="Century Gothic" w:hAnsi="Century Gothic"/>
          <w:b/>
          <w:sz w:val="27"/>
          <w:szCs w:val="28"/>
        </w:rPr>
        <w:t xml:space="preserve">CONSUMIDOS </w:t>
      </w:r>
      <w:r w:rsidR="00712F3E">
        <w:rPr>
          <w:rFonts w:ascii="Century Gothic" w:hAnsi="Century Gothic"/>
          <w:b/>
          <w:sz w:val="27"/>
          <w:szCs w:val="28"/>
        </w:rPr>
        <w:br/>
        <w:t>EN EL HOGAR</w:t>
      </w:r>
      <w:r w:rsidR="000F7F4A">
        <w:rPr>
          <w:rFonts w:ascii="Century Gothic" w:hAnsi="Century Gothic"/>
          <w:b/>
          <w:sz w:val="27"/>
          <w:szCs w:val="28"/>
        </w:rPr>
        <w:t xml:space="preserve"> </w:t>
      </w:r>
      <w:r w:rsidR="003647BF">
        <w:rPr>
          <w:rFonts w:ascii="Century Gothic" w:hAnsi="Century Gothic"/>
          <w:b/>
          <w:sz w:val="27"/>
          <w:szCs w:val="28"/>
        </w:rPr>
        <w:t>LLEGA A 6,29%</w:t>
      </w:r>
      <w:r w:rsidR="00533493">
        <w:rPr>
          <w:rFonts w:ascii="Century Gothic" w:hAnsi="Century Gothic"/>
          <w:b/>
          <w:sz w:val="27"/>
          <w:szCs w:val="28"/>
        </w:rPr>
        <w:t xml:space="preserve"> HASTA OCTUBRE </w:t>
      </w:r>
    </w:p>
    <w:p w:rsidR="008740C0" w:rsidRPr="008B39AC" w:rsidRDefault="008740C0" w:rsidP="008740C0">
      <w:pPr>
        <w:pStyle w:val="Sinespaciado1"/>
        <w:jc w:val="center"/>
        <w:rPr>
          <w:rFonts w:ascii="Century Gothic" w:hAnsi="Century Gothic"/>
          <w:b/>
          <w:sz w:val="24"/>
          <w:szCs w:val="28"/>
        </w:rPr>
      </w:pPr>
    </w:p>
    <w:p w:rsidR="00712F3E" w:rsidRDefault="00161BD3" w:rsidP="000C3C2B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161BD3">
        <w:rPr>
          <w:rFonts w:ascii="Century Gothic" w:hAnsi="Century Gothic" w:cs="MyriadPro-Regular"/>
          <w:i/>
          <w:noProof/>
          <w:szCs w:val="24"/>
          <w:lang w:eastAsia="es-ES"/>
        </w:rPr>
        <w:pict>
          <v:roundrect id="AutoShape 7" o:spid="_x0000_s1026" style="position:absolute;left:0;text-align:left;margin-left:-9.3pt;margin-top:1.4pt;width:460.5pt;height:7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" fillcolor="#e6f1ff" strokecolor="#4a7ebb" strokeweight="1.5pt">
            <v:fill opacity="64764f"/>
            <v:shadow on="t" opacity="22938f" offset="0"/>
            <v:textbox inset=",7.2pt,,7.2pt"/>
          </v:roundrect>
        </w:pict>
      </w:r>
      <w:r w:rsidR="00712F3E">
        <w:rPr>
          <w:rFonts w:ascii="Century Gothic" w:hAnsi="Century Gothic" w:cs="MyriadPro-Regular"/>
          <w:i/>
          <w:szCs w:val="24"/>
        </w:rPr>
        <w:t xml:space="preserve">El último mes, el precio de alimentos consumidos en el hogar </w:t>
      </w:r>
      <w:r w:rsidR="00872C96">
        <w:rPr>
          <w:rFonts w:ascii="Century Gothic" w:hAnsi="Century Gothic" w:cs="MyriadPro-Regular"/>
          <w:i/>
          <w:szCs w:val="24"/>
        </w:rPr>
        <w:t xml:space="preserve">subió </w:t>
      </w:r>
      <w:r w:rsidR="00712F3E">
        <w:rPr>
          <w:rFonts w:ascii="Century Gothic" w:hAnsi="Century Gothic" w:cs="MyriadPro-Regular"/>
          <w:i/>
          <w:szCs w:val="24"/>
        </w:rPr>
        <w:t xml:space="preserve">en </w:t>
      </w:r>
      <w:r w:rsidR="00712F3E">
        <w:rPr>
          <w:rFonts w:ascii="Century Gothic" w:hAnsi="Century Gothic" w:cs="MyriadPro-Regular"/>
          <w:i/>
          <w:szCs w:val="24"/>
        </w:rPr>
        <w:br/>
        <w:t>0,</w:t>
      </w:r>
      <w:r w:rsidR="0048590A">
        <w:rPr>
          <w:rFonts w:ascii="Century Gothic" w:hAnsi="Century Gothic" w:cs="MyriadPro-Regular"/>
          <w:i/>
          <w:szCs w:val="24"/>
        </w:rPr>
        <w:t>86</w:t>
      </w:r>
      <w:r w:rsidR="00712F3E">
        <w:rPr>
          <w:rFonts w:ascii="Century Gothic" w:hAnsi="Century Gothic" w:cs="MyriadPro-Regular"/>
          <w:i/>
          <w:szCs w:val="24"/>
        </w:rPr>
        <w:t>%</w:t>
      </w:r>
    </w:p>
    <w:p w:rsidR="00AE070D" w:rsidRPr="00A375BD" w:rsidRDefault="00AE070D" w:rsidP="000C3C2B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 xml:space="preserve">Los precios de los alimentos </w:t>
      </w:r>
      <w:r w:rsidR="00BF3064">
        <w:rPr>
          <w:rFonts w:ascii="Century Gothic" w:hAnsi="Century Gothic" w:cs="MyriadPro-Regular"/>
          <w:i/>
          <w:szCs w:val="24"/>
        </w:rPr>
        <w:t xml:space="preserve">y bebidas </w:t>
      </w:r>
      <w:r>
        <w:rPr>
          <w:rFonts w:ascii="Century Gothic" w:hAnsi="Century Gothic" w:cs="MyriadPro-Regular"/>
          <w:i/>
          <w:szCs w:val="24"/>
        </w:rPr>
        <w:t xml:space="preserve">consumidos fuera </w:t>
      </w:r>
      <w:r w:rsidR="00D44C73">
        <w:rPr>
          <w:rFonts w:ascii="Century Gothic" w:hAnsi="Century Gothic" w:cs="MyriadPro-Regular"/>
          <w:i/>
          <w:szCs w:val="24"/>
        </w:rPr>
        <w:t>d</w:t>
      </w:r>
      <w:r>
        <w:rPr>
          <w:rFonts w:ascii="Century Gothic" w:hAnsi="Century Gothic" w:cs="MyriadPro-Regular"/>
          <w:i/>
          <w:szCs w:val="24"/>
        </w:rPr>
        <w:t xml:space="preserve">el hogar, hasta </w:t>
      </w:r>
      <w:r w:rsidR="0048590A">
        <w:rPr>
          <w:rFonts w:ascii="Century Gothic" w:hAnsi="Century Gothic" w:cs="MyriadPro-Regular"/>
          <w:i/>
          <w:szCs w:val="24"/>
        </w:rPr>
        <w:t>octubre</w:t>
      </w:r>
      <w:r>
        <w:rPr>
          <w:rFonts w:ascii="Century Gothic" w:hAnsi="Century Gothic" w:cs="MyriadPro-Regular"/>
          <w:i/>
          <w:szCs w:val="24"/>
        </w:rPr>
        <w:t xml:space="preserve">, se incrementaron en </w:t>
      </w:r>
      <w:r w:rsidR="0048590A">
        <w:rPr>
          <w:rFonts w:ascii="Century Gothic" w:hAnsi="Century Gothic" w:cs="MyriadPro-Regular"/>
          <w:i/>
          <w:szCs w:val="24"/>
        </w:rPr>
        <w:t>2</w:t>
      </w:r>
      <w:r>
        <w:rPr>
          <w:rFonts w:ascii="Century Gothic" w:hAnsi="Century Gothic" w:cs="MyriadPro-Regular"/>
          <w:i/>
          <w:szCs w:val="24"/>
        </w:rPr>
        <w:t>,</w:t>
      </w:r>
      <w:r w:rsidR="0048590A">
        <w:rPr>
          <w:rFonts w:ascii="Century Gothic" w:hAnsi="Century Gothic" w:cs="MyriadPro-Regular"/>
          <w:i/>
          <w:szCs w:val="24"/>
        </w:rPr>
        <w:t>07</w:t>
      </w:r>
      <w:r>
        <w:rPr>
          <w:rFonts w:ascii="Century Gothic" w:hAnsi="Century Gothic" w:cs="MyriadPro-Regular"/>
          <w:i/>
          <w:szCs w:val="24"/>
        </w:rPr>
        <w:t>%.</w:t>
      </w:r>
    </w:p>
    <w:p w:rsidR="008740C0" w:rsidRPr="00CA2A38" w:rsidRDefault="008740C0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sz w:val="16"/>
        </w:rPr>
      </w:pPr>
    </w:p>
    <w:p w:rsidR="00872C96" w:rsidRDefault="00872C96" w:rsidP="00872C96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Durante octubre de 2016, los precios de alimentos y bebidas consumidos en el hogar se incrementaron en 0,86%, en comparación al mes anterior. Est</w:t>
      </w:r>
      <w:r w:rsidR="00336A94">
        <w:rPr>
          <w:rFonts w:ascii="Century Gothic" w:hAnsi="Century Gothic" w:cs="MyriadPro-Regular"/>
        </w:rPr>
        <w:t>a</w:t>
      </w:r>
      <w:r>
        <w:rPr>
          <w:rFonts w:ascii="Century Gothic" w:hAnsi="Century Gothic" w:cs="MyriadPro-Regular"/>
        </w:rPr>
        <w:t xml:space="preserve"> </w:t>
      </w:r>
      <w:r w:rsidR="00336A94">
        <w:rPr>
          <w:rFonts w:ascii="Century Gothic" w:hAnsi="Century Gothic" w:cs="MyriadPro-Regular"/>
        </w:rPr>
        <w:t>subida</w:t>
      </w:r>
      <w:r>
        <w:rPr>
          <w:rFonts w:ascii="Century Gothic" w:hAnsi="Century Gothic" w:cs="MyriadPro-Regular"/>
        </w:rPr>
        <w:t xml:space="preserve"> se produce por segundo mes consecutivo.</w:t>
      </w:r>
    </w:p>
    <w:p w:rsidR="00872C96" w:rsidRDefault="00872C96" w:rsidP="00872C96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Con este resultado</w:t>
      </w:r>
      <w:r w:rsidRPr="00CD51C1">
        <w:rPr>
          <w:rFonts w:ascii="Century Gothic" w:hAnsi="Century Gothic" w:cs="MyriadPro-Regular"/>
        </w:rPr>
        <w:t xml:space="preserve">, </w:t>
      </w:r>
      <w:r>
        <w:rPr>
          <w:rFonts w:ascii="Century Gothic" w:hAnsi="Century Gothic" w:cs="MyriadPro-Regular"/>
        </w:rPr>
        <w:t>la variación acumulada de</w:t>
      </w:r>
      <w:r w:rsidR="00533493">
        <w:rPr>
          <w:rFonts w:ascii="Century Gothic" w:hAnsi="Century Gothic" w:cs="MyriadPro-Regular"/>
        </w:rPr>
        <w:t>l</w:t>
      </w:r>
      <w:r>
        <w:rPr>
          <w:rFonts w:ascii="Century Gothic" w:hAnsi="Century Gothic" w:cs="MyriadPro-Regular"/>
        </w:rPr>
        <w:t xml:space="preserve"> precio de alimentos</w:t>
      </w:r>
      <w:r w:rsidR="0048590A">
        <w:rPr>
          <w:rFonts w:ascii="Century Gothic" w:hAnsi="Century Gothic" w:cs="MyriadPro-Regular"/>
        </w:rPr>
        <w:t xml:space="preserve"> y bebidas consumido</w:t>
      </w:r>
      <w:r w:rsidR="00533493">
        <w:rPr>
          <w:rFonts w:ascii="Century Gothic" w:hAnsi="Century Gothic" w:cs="MyriadPro-Regular"/>
        </w:rPr>
        <w:t>s</w:t>
      </w:r>
      <w:r w:rsidR="0048590A">
        <w:rPr>
          <w:rFonts w:ascii="Century Gothic" w:hAnsi="Century Gothic" w:cs="MyriadPro-Regular"/>
        </w:rPr>
        <w:t xml:space="preserve"> en el hogar</w:t>
      </w:r>
      <w:r>
        <w:rPr>
          <w:rFonts w:ascii="Century Gothic" w:hAnsi="Century Gothic" w:cs="MyriadPro-Regular"/>
        </w:rPr>
        <w:t>, entre enero y octubre, llegó a 6,29%, cifra superior al promedio general de bienes y servicios que alcanzó a 3,27%, en el mismo periodo</w:t>
      </w:r>
      <w:r w:rsidRPr="00CD51C1">
        <w:rPr>
          <w:rFonts w:ascii="Century Gothic" w:hAnsi="Century Gothic" w:cs="MyriadPro-Regular"/>
        </w:rPr>
        <w:t>.</w:t>
      </w:r>
    </w:p>
    <w:p w:rsidR="00872C96" w:rsidRDefault="00872C96" w:rsidP="00872C96">
      <w:pPr>
        <w:pStyle w:val="Sinespaciado1"/>
        <w:spacing w:before="120" w:after="120"/>
        <w:jc w:val="center"/>
        <w:rPr>
          <w:rFonts w:ascii="Century Gothic" w:hAnsi="Century Gothic" w:cs="MyriadPro-Regular"/>
        </w:rPr>
      </w:pPr>
      <w:r w:rsidRPr="00872C96">
        <w:rPr>
          <w:noProof/>
          <w:lang w:val="es-ES_tradnl" w:eastAsia="es-ES_tradnl"/>
        </w:rPr>
        <w:drawing>
          <wp:inline distT="0" distB="0" distL="0" distR="0">
            <wp:extent cx="4167188" cy="2109686"/>
            <wp:effectExtent l="0" t="0" r="508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540" cy="211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C96" w:rsidRDefault="00872C96" w:rsidP="00872C96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 xml:space="preserve">La meta oficial de inflación promedio fijada por el Banco Central de Bolivia para todo el año es de 5%. La tasa general </w:t>
      </w:r>
      <w:r w:rsidR="00EA2F17">
        <w:rPr>
          <w:rFonts w:ascii="Century Gothic" w:hAnsi="Century Gothic" w:cs="MyriadPro-Regular"/>
        </w:rPr>
        <w:t xml:space="preserve">acumulada </w:t>
      </w:r>
      <w:r>
        <w:rPr>
          <w:rFonts w:ascii="Century Gothic" w:hAnsi="Century Gothic" w:cs="MyriadPro-Regular"/>
        </w:rPr>
        <w:t xml:space="preserve">hasta octubre </w:t>
      </w:r>
      <w:r w:rsidR="00EA2F17">
        <w:rPr>
          <w:rFonts w:ascii="Century Gothic" w:hAnsi="Century Gothic" w:cs="MyriadPro-Regular"/>
        </w:rPr>
        <w:t>es de 3,27%; cuando quedan</w:t>
      </w:r>
      <w:r>
        <w:rPr>
          <w:rFonts w:ascii="Century Gothic" w:hAnsi="Century Gothic" w:cs="MyriadPro-Regular"/>
        </w:rPr>
        <w:t xml:space="preserve"> dos meses para finalizar la gestión</w:t>
      </w:r>
      <w:r w:rsidR="0048590A">
        <w:rPr>
          <w:rFonts w:ascii="Century Gothic" w:hAnsi="Century Gothic" w:cs="MyriadPro-Regular"/>
        </w:rPr>
        <w:t>,</w:t>
      </w:r>
      <w:r>
        <w:rPr>
          <w:rFonts w:ascii="Century Gothic" w:hAnsi="Century Gothic" w:cs="MyriadPro-Regular"/>
        </w:rPr>
        <w:t xml:space="preserve"> está a </w:t>
      </w:r>
      <w:r w:rsidR="00EF7324">
        <w:rPr>
          <w:rFonts w:ascii="Century Gothic" w:hAnsi="Century Gothic" w:cs="MyriadPro-Regular"/>
        </w:rPr>
        <w:t>1</w:t>
      </w:r>
      <w:r>
        <w:rPr>
          <w:rFonts w:ascii="Century Gothic" w:hAnsi="Century Gothic" w:cs="MyriadPro-Regular"/>
        </w:rPr>
        <w:t>,</w:t>
      </w:r>
      <w:r w:rsidR="00EF7324">
        <w:rPr>
          <w:rFonts w:ascii="Century Gothic" w:hAnsi="Century Gothic" w:cs="MyriadPro-Regular"/>
        </w:rPr>
        <w:t>7</w:t>
      </w:r>
      <w:r>
        <w:rPr>
          <w:rFonts w:ascii="Century Gothic" w:hAnsi="Century Gothic" w:cs="MyriadPro-Regular"/>
        </w:rPr>
        <w:t xml:space="preserve"> puntos porcentuales de alcanzar esa meta.</w:t>
      </w:r>
    </w:p>
    <w:p w:rsidR="00872C96" w:rsidRDefault="00EA2F17" w:rsidP="008740C0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Entre enero y octubre</w:t>
      </w:r>
      <w:r w:rsidR="00FA7A64" w:rsidRPr="00FA7A64">
        <w:rPr>
          <w:rFonts w:ascii="Century Gothic" w:hAnsi="Century Gothic" w:cs="MyriadPro-Regular"/>
        </w:rPr>
        <w:t xml:space="preserve"> de esta gestión, la variación acumulada del Índice de Precios al Consumidor de alimentos consumidos en el hogar pasó la meta </w:t>
      </w:r>
      <w:r w:rsidR="00FA7A64">
        <w:rPr>
          <w:rFonts w:ascii="Century Gothic" w:hAnsi="Century Gothic" w:cs="MyriadPro-Regular"/>
        </w:rPr>
        <w:t xml:space="preserve">promedio </w:t>
      </w:r>
      <w:r w:rsidR="00FA7A64" w:rsidRPr="00FA7A64">
        <w:rPr>
          <w:rFonts w:ascii="Century Gothic" w:hAnsi="Century Gothic" w:cs="MyriadPro-Regular"/>
        </w:rPr>
        <w:t>de inflación general fijada por el Gobierno para la gestión 2016.</w:t>
      </w:r>
    </w:p>
    <w:p w:rsidR="0048590A" w:rsidRPr="0048590A" w:rsidRDefault="0048590A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b/>
        </w:rPr>
      </w:pPr>
      <w:r w:rsidRPr="0048590A">
        <w:rPr>
          <w:rFonts w:ascii="Century Gothic" w:hAnsi="Century Gothic" w:cs="MyriadPro-Regular"/>
          <w:b/>
        </w:rPr>
        <w:t xml:space="preserve">Alimentos consumidos fuera del hogar </w:t>
      </w:r>
    </w:p>
    <w:p w:rsidR="00606DF7" w:rsidRDefault="006F317F" w:rsidP="008740C0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En la estru</w:t>
      </w:r>
      <w:r w:rsidR="00D44C73">
        <w:rPr>
          <w:rFonts w:ascii="Century Gothic" w:hAnsi="Century Gothic" w:cs="MyriadPro-Regular"/>
        </w:rPr>
        <w:t>ctura de gasto de los hogares, éstos compran alimentos</w:t>
      </w:r>
      <w:r>
        <w:rPr>
          <w:rFonts w:ascii="Century Gothic" w:hAnsi="Century Gothic" w:cs="MyriadPro-Regular"/>
        </w:rPr>
        <w:t xml:space="preserve"> y bebidas para su consumo dentro y fuera del hogar. En el primer grupo est</w:t>
      </w:r>
      <w:r w:rsidR="00D44C73">
        <w:rPr>
          <w:rFonts w:ascii="Century Gothic" w:hAnsi="Century Gothic" w:cs="MyriadPro-Regular"/>
        </w:rPr>
        <w:t>á</w:t>
      </w:r>
      <w:r>
        <w:rPr>
          <w:rFonts w:ascii="Century Gothic" w:hAnsi="Century Gothic" w:cs="MyriadPro-Regular"/>
        </w:rPr>
        <w:t xml:space="preserve"> la compra de productos de l</w:t>
      </w:r>
      <w:r w:rsidRPr="006F317F">
        <w:rPr>
          <w:rFonts w:ascii="Century Gothic" w:hAnsi="Century Gothic" w:cs="MyriadPro-Regular"/>
        </w:rPr>
        <w:t>egumbres, hortalizas</w:t>
      </w:r>
      <w:r>
        <w:rPr>
          <w:rFonts w:ascii="Century Gothic" w:hAnsi="Century Gothic" w:cs="MyriadPro-Regular"/>
        </w:rPr>
        <w:t>,</w:t>
      </w:r>
      <w:r w:rsidRPr="006F317F">
        <w:rPr>
          <w:rFonts w:ascii="Century Gothic" w:hAnsi="Century Gothic" w:cs="MyriadPro-Regular"/>
        </w:rPr>
        <w:t xml:space="preserve"> tubérculos</w:t>
      </w:r>
      <w:r>
        <w:rPr>
          <w:rFonts w:ascii="Century Gothic" w:hAnsi="Century Gothic" w:cs="MyriadPro-Regular"/>
        </w:rPr>
        <w:t>,</w:t>
      </w:r>
      <w:r w:rsidRPr="006F317F">
        <w:rPr>
          <w:rFonts w:ascii="Century Gothic" w:hAnsi="Century Gothic" w:cs="MyriadPro-Regular"/>
        </w:rPr>
        <w:t xml:space="preserve"> </w:t>
      </w:r>
      <w:r>
        <w:rPr>
          <w:rFonts w:ascii="Century Gothic" w:hAnsi="Century Gothic" w:cs="MyriadPro-Regular"/>
        </w:rPr>
        <w:t xml:space="preserve">lácteos, carnes, frutas y otros. En el segundo grupo están aquellos que corresponden al servicio de </w:t>
      </w:r>
      <w:r w:rsidRPr="006F317F">
        <w:rPr>
          <w:rFonts w:ascii="Century Gothic" w:hAnsi="Century Gothic" w:cs="MyriadPro-Regular"/>
        </w:rPr>
        <w:t xml:space="preserve">suministro de comidas </w:t>
      </w:r>
      <w:r w:rsidR="007D5F41">
        <w:rPr>
          <w:rFonts w:ascii="Century Gothic" w:hAnsi="Century Gothic" w:cs="MyriadPro-Regular"/>
        </w:rPr>
        <w:t>en restaurantes, pensiones,</w:t>
      </w:r>
      <w:r w:rsidR="007D5F41" w:rsidRPr="007D5F41">
        <w:rPr>
          <w:rFonts w:ascii="Century Gothic" w:hAnsi="Century Gothic" w:cs="MyriadPro-Regular"/>
        </w:rPr>
        <w:t xml:space="preserve"> cafés y establecimientos similares</w:t>
      </w:r>
      <w:r w:rsidR="007D5F41">
        <w:rPr>
          <w:rFonts w:ascii="Century Gothic" w:hAnsi="Century Gothic" w:cs="MyriadPro-Regular"/>
        </w:rPr>
        <w:t>.</w:t>
      </w:r>
    </w:p>
    <w:p w:rsidR="007D5F41" w:rsidRDefault="007D5F41" w:rsidP="007D5F41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 w:rsidRPr="00C95F0A">
        <w:rPr>
          <w:rFonts w:ascii="Century Gothic" w:hAnsi="Century Gothic" w:cs="MyriadPro-Regular"/>
        </w:rPr>
        <w:t xml:space="preserve">Durante la gestión 2016 </w:t>
      </w:r>
      <w:r w:rsidR="00EA2F17">
        <w:rPr>
          <w:rFonts w:ascii="Century Gothic" w:hAnsi="Century Gothic" w:cs="MyriadPro-Regular"/>
        </w:rPr>
        <w:t>(enero-</w:t>
      </w:r>
      <w:r w:rsidR="00FA7A64">
        <w:rPr>
          <w:rFonts w:ascii="Century Gothic" w:hAnsi="Century Gothic" w:cs="MyriadPro-Regular"/>
        </w:rPr>
        <w:t>octubre</w:t>
      </w:r>
      <w:r w:rsidRPr="00C95F0A">
        <w:rPr>
          <w:rFonts w:ascii="Century Gothic" w:hAnsi="Century Gothic" w:cs="MyriadPro-Regular"/>
        </w:rPr>
        <w:t xml:space="preserve">), el precio de los alimentos </w:t>
      </w:r>
      <w:r w:rsidR="00D44C73">
        <w:rPr>
          <w:rFonts w:ascii="Century Gothic" w:hAnsi="Century Gothic" w:cs="MyriadPro-Regular"/>
        </w:rPr>
        <w:t xml:space="preserve">y bebidas </w:t>
      </w:r>
      <w:r w:rsidRPr="00C95F0A">
        <w:rPr>
          <w:rFonts w:ascii="Century Gothic" w:hAnsi="Century Gothic" w:cs="MyriadPro-Regular"/>
        </w:rPr>
        <w:t xml:space="preserve">consumidos fuera del hogar subió en </w:t>
      </w:r>
      <w:r w:rsidR="00FA7A64">
        <w:rPr>
          <w:rFonts w:ascii="Century Gothic" w:hAnsi="Century Gothic" w:cs="MyriadPro-Regular"/>
        </w:rPr>
        <w:t>2</w:t>
      </w:r>
      <w:r w:rsidRPr="00C95F0A">
        <w:rPr>
          <w:rFonts w:ascii="Century Gothic" w:hAnsi="Century Gothic" w:cs="MyriadPro-Regular"/>
        </w:rPr>
        <w:t>,</w:t>
      </w:r>
      <w:r w:rsidR="00FA7A64">
        <w:rPr>
          <w:rFonts w:ascii="Century Gothic" w:hAnsi="Century Gothic" w:cs="MyriadPro-Regular"/>
        </w:rPr>
        <w:t>07</w:t>
      </w:r>
      <w:r w:rsidRPr="00C95F0A">
        <w:rPr>
          <w:rFonts w:ascii="Century Gothic" w:hAnsi="Century Gothic" w:cs="MyriadPro-Regular"/>
        </w:rPr>
        <w:t xml:space="preserve">%. </w:t>
      </w:r>
    </w:p>
    <w:p w:rsidR="007D5F41" w:rsidRPr="00C61D5D" w:rsidRDefault="00FA7A64" w:rsidP="007D5F41">
      <w:pPr>
        <w:pStyle w:val="Sinespaciado1"/>
        <w:spacing w:before="120" w:after="120"/>
        <w:jc w:val="center"/>
        <w:rPr>
          <w:rFonts w:ascii="Century Gothic" w:hAnsi="Century Gothic" w:cs="MyriadPro-Regular"/>
        </w:rPr>
      </w:pPr>
      <w:r w:rsidRPr="00FA7A64">
        <w:rPr>
          <w:noProof/>
          <w:lang w:val="es-ES_tradnl" w:eastAsia="es-ES_tradnl"/>
        </w:rPr>
        <w:drawing>
          <wp:inline distT="0" distB="0" distL="0" distR="0">
            <wp:extent cx="3924300" cy="1901451"/>
            <wp:effectExtent l="0" t="0" r="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608" cy="190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90A" w:rsidRPr="0048590A" w:rsidRDefault="00F14524" w:rsidP="000A415A">
      <w:pPr>
        <w:pStyle w:val="Sinespaciado1"/>
        <w:spacing w:before="120" w:after="120"/>
        <w:jc w:val="both"/>
        <w:rPr>
          <w:rFonts w:ascii="Century Gothic" w:hAnsi="Century Gothic" w:cs="MyriadPro-Regular"/>
          <w:b/>
        </w:rPr>
      </w:pPr>
      <w:r>
        <w:rPr>
          <w:rFonts w:ascii="Century Gothic" w:hAnsi="Century Gothic" w:cs="MyriadPro-Regular"/>
          <w:b/>
        </w:rPr>
        <w:t>Só</w:t>
      </w:r>
      <w:r w:rsidR="0048590A" w:rsidRPr="0048590A">
        <w:rPr>
          <w:rFonts w:ascii="Century Gothic" w:hAnsi="Century Gothic" w:cs="MyriadPro-Regular"/>
          <w:b/>
        </w:rPr>
        <w:t>lo alimentos</w:t>
      </w:r>
    </w:p>
    <w:p w:rsidR="00F14524" w:rsidRDefault="000A415A" w:rsidP="000A415A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En el agregado de alimentos consumidos d</w:t>
      </w:r>
      <w:r w:rsidR="00FA7A64">
        <w:rPr>
          <w:rFonts w:ascii="Century Gothic" w:hAnsi="Century Gothic" w:cs="MyriadPro-Regular"/>
        </w:rPr>
        <w:t>entro y fuera del hogar, hasta octubre</w:t>
      </w:r>
      <w:r>
        <w:rPr>
          <w:rFonts w:ascii="Century Gothic" w:hAnsi="Century Gothic" w:cs="MyriadPro-Regular"/>
        </w:rPr>
        <w:t xml:space="preserve"> </w:t>
      </w:r>
      <w:r w:rsidRPr="000A415A">
        <w:rPr>
          <w:rFonts w:ascii="Century Gothic" w:hAnsi="Century Gothic" w:cs="MyriadPro-Regular"/>
        </w:rPr>
        <w:t>de 201</w:t>
      </w:r>
      <w:r>
        <w:rPr>
          <w:rFonts w:ascii="Century Gothic" w:hAnsi="Century Gothic" w:cs="MyriadPro-Regular"/>
        </w:rPr>
        <w:t>6</w:t>
      </w:r>
      <w:r w:rsidRPr="000A415A">
        <w:rPr>
          <w:rFonts w:ascii="Century Gothic" w:hAnsi="Century Gothic" w:cs="MyriadPro-Regular"/>
        </w:rPr>
        <w:t xml:space="preserve">, la </w:t>
      </w:r>
      <w:r>
        <w:rPr>
          <w:rFonts w:ascii="Century Gothic" w:hAnsi="Century Gothic" w:cs="MyriadPro-Regular"/>
        </w:rPr>
        <w:t xml:space="preserve">variación de precios </w:t>
      </w:r>
      <w:r w:rsidRPr="000A415A">
        <w:rPr>
          <w:rFonts w:ascii="Century Gothic" w:hAnsi="Century Gothic" w:cs="MyriadPro-Regular"/>
        </w:rPr>
        <w:t xml:space="preserve">a </w:t>
      </w:r>
      <w:r w:rsidR="00A02C98">
        <w:rPr>
          <w:rFonts w:ascii="Century Gothic" w:hAnsi="Century Gothic" w:cs="MyriadPro-Regular"/>
        </w:rPr>
        <w:t>12</w:t>
      </w:r>
      <w:r w:rsidRPr="000A415A">
        <w:rPr>
          <w:rFonts w:ascii="Century Gothic" w:hAnsi="Century Gothic" w:cs="MyriadPro-Regular"/>
        </w:rPr>
        <w:t xml:space="preserve"> meses alcanzó a </w:t>
      </w:r>
      <w:r>
        <w:rPr>
          <w:rFonts w:ascii="Century Gothic" w:hAnsi="Century Gothic" w:cs="MyriadPro-Regular"/>
        </w:rPr>
        <w:t>4</w:t>
      </w:r>
      <w:r w:rsidRPr="000A415A">
        <w:rPr>
          <w:rFonts w:ascii="Century Gothic" w:hAnsi="Century Gothic" w:cs="MyriadPro-Regular"/>
        </w:rPr>
        <w:t>,</w:t>
      </w:r>
      <w:r w:rsidR="00A02C98">
        <w:rPr>
          <w:rFonts w:ascii="Century Gothic" w:hAnsi="Century Gothic" w:cs="MyriadPro-Regular"/>
        </w:rPr>
        <w:t>6</w:t>
      </w:r>
      <w:r w:rsidR="00FA7A64">
        <w:rPr>
          <w:rFonts w:ascii="Century Gothic" w:hAnsi="Century Gothic" w:cs="MyriadPro-Regular"/>
        </w:rPr>
        <w:t>9</w:t>
      </w:r>
      <w:r>
        <w:rPr>
          <w:rFonts w:ascii="Century Gothic" w:hAnsi="Century Gothic" w:cs="MyriadPro-Regular"/>
        </w:rPr>
        <w:t>%. En cambio</w:t>
      </w:r>
      <w:r w:rsidR="00A02C98">
        <w:rPr>
          <w:rFonts w:ascii="Century Gothic" w:hAnsi="Century Gothic" w:cs="MyriadPro-Regular"/>
        </w:rPr>
        <w:t>,</w:t>
      </w:r>
      <w:r>
        <w:rPr>
          <w:rFonts w:ascii="Century Gothic" w:hAnsi="Century Gothic" w:cs="MyriadPro-Regular"/>
        </w:rPr>
        <w:t xml:space="preserve"> el Índice de precios al consumidor sin alimentos </w:t>
      </w:r>
      <w:r w:rsidR="00A02C98">
        <w:rPr>
          <w:rFonts w:ascii="Century Gothic" w:hAnsi="Century Gothic" w:cs="MyriadPro-Regular"/>
        </w:rPr>
        <w:t xml:space="preserve">tuvo una variación de </w:t>
      </w:r>
      <w:r>
        <w:rPr>
          <w:rFonts w:ascii="Century Gothic" w:hAnsi="Century Gothic" w:cs="MyriadPro-Regular"/>
        </w:rPr>
        <w:t>2,</w:t>
      </w:r>
      <w:r w:rsidR="00FA7A64">
        <w:rPr>
          <w:rFonts w:ascii="Century Gothic" w:hAnsi="Century Gothic" w:cs="MyriadPro-Regular"/>
        </w:rPr>
        <w:t>48</w:t>
      </w:r>
      <w:r>
        <w:rPr>
          <w:rFonts w:ascii="Century Gothic" w:hAnsi="Century Gothic" w:cs="MyriadPro-Regular"/>
        </w:rPr>
        <w:t xml:space="preserve">%. </w:t>
      </w:r>
    </w:p>
    <w:p w:rsidR="000A415A" w:rsidRDefault="00BC4CCF" w:rsidP="000A415A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Respecto al conjunto de</w:t>
      </w:r>
      <w:r w:rsidR="000A415A">
        <w:rPr>
          <w:rFonts w:ascii="Century Gothic" w:hAnsi="Century Gothic" w:cs="MyriadPro-Regular"/>
        </w:rPr>
        <w:t xml:space="preserve"> bienes y servicios, la variación de precios entre </w:t>
      </w:r>
      <w:r w:rsidR="00FA7A64">
        <w:rPr>
          <w:rFonts w:ascii="Century Gothic" w:hAnsi="Century Gothic" w:cs="MyriadPro-Regular"/>
        </w:rPr>
        <w:t>octubre</w:t>
      </w:r>
      <w:r w:rsidR="000A415A">
        <w:rPr>
          <w:rFonts w:ascii="Century Gothic" w:hAnsi="Century Gothic" w:cs="MyriadPro-Regular"/>
        </w:rPr>
        <w:t xml:space="preserve"> 2016 respecto </w:t>
      </w:r>
      <w:r w:rsidR="00A02C98">
        <w:rPr>
          <w:rFonts w:ascii="Century Gothic" w:hAnsi="Century Gothic" w:cs="MyriadPro-Regular"/>
        </w:rPr>
        <w:t>a</w:t>
      </w:r>
      <w:r w:rsidR="000A415A">
        <w:rPr>
          <w:rFonts w:ascii="Century Gothic" w:hAnsi="Century Gothic" w:cs="MyriadPro-Regular"/>
        </w:rPr>
        <w:t xml:space="preserve"> </w:t>
      </w:r>
      <w:r w:rsidR="00FA7A64">
        <w:rPr>
          <w:rFonts w:ascii="Century Gothic" w:hAnsi="Century Gothic" w:cs="MyriadPro-Regular"/>
        </w:rPr>
        <w:t>octubre</w:t>
      </w:r>
      <w:r w:rsidR="000A415A">
        <w:rPr>
          <w:rFonts w:ascii="Century Gothic" w:hAnsi="Century Gothic" w:cs="MyriadPro-Regular"/>
        </w:rPr>
        <w:t xml:space="preserve"> </w:t>
      </w:r>
      <w:r w:rsidR="00F14524">
        <w:rPr>
          <w:rFonts w:ascii="Century Gothic" w:hAnsi="Century Gothic" w:cs="MyriadPro-Regular"/>
        </w:rPr>
        <w:t>2015</w:t>
      </w:r>
      <w:r w:rsidR="000A415A">
        <w:rPr>
          <w:rFonts w:ascii="Century Gothic" w:hAnsi="Century Gothic" w:cs="MyriadPro-Regular"/>
        </w:rPr>
        <w:t xml:space="preserve"> fue de 3,</w:t>
      </w:r>
      <w:r w:rsidR="00FA7A64">
        <w:rPr>
          <w:rFonts w:ascii="Century Gothic" w:hAnsi="Century Gothic" w:cs="MyriadPro-Regular"/>
        </w:rPr>
        <w:t>5</w:t>
      </w:r>
      <w:r w:rsidR="000A415A">
        <w:rPr>
          <w:rFonts w:ascii="Century Gothic" w:hAnsi="Century Gothic" w:cs="MyriadPro-Regular"/>
        </w:rPr>
        <w:t>%.</w:t>
      </w:r>
    </w:p>
    <w:p w:rsidR="00606DF7" w:rsidRDefault="00FA7A64" w:rsidP="007D5F41">
      <w:pPr>
        <w:pStyle w:val="Sinespaciado1"/>
        <w:spacing w:before="120" w:after="120"/>
        <w:jc w:val="center"/>
        <w:rPr>
          <w:rFonts w:ascii="Century Gothic" w:hAnsi="Century Gothic" w:cs="MyriadPro-Regular"/>
        </w:rPr>
      </w:pPr>
      <w:r w:rsidRPr="00FA7A64">
        <w:rPr>
          <w:noProof/>
          <w:lang w:val="es-ES_tradnl" w:eastAsia="es-ES_tradnl"/>
        </w:rPr>
        <w:drawing>
          <wp:inline distT="0" distB="0" distL="0" distR="0">
            <wp:extent cx="4829175" cy="2285516"/>
            <wp:effectExtent l="0" t="0" r="0" b="63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815" cy="228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0F" w:rsidRPr="00596D0F" w:rsidRDefault="00BC4CCF" w:rsidP="0038585F">
      <w:pPr>
        <w:pStyle w:val="Sinespaciado1"/>
        <w:spacing w:before="120" w:after="120"/>
        <w:jc w:val="both"/>
        <w:rPr>
          <w:rFonts w:ascii="Century Gothic" w:hAnsi="Century Gothic" w:cs="MyriadPro-Regular"/>
          <w:b/>
        </w:rPr>
      </w:pPr>
      <w:r>
        <w:rPr>
          <w:rFonts w:ascii="Century Gothic" w:hAnsi="Century Gothic" w:cs="MyriadPro-Regular"/>
          <w:b/>
        </w:rPr>
        <w:t>P</w:t>
      </w:r>
      <w:r w:rsidR="00596D0F" w:rsidRPr="00596D0F">
        <w:rPr>
          <w:rFonts w:ascii="Century Gothic" w:hAnsi="Century Gothic" w:cs="MyriadPro-Regular"/>
          <w:b/>
        </w:rPr>
        <w:t xml:space="preserve">recios por ciudades </w:t>
      </w:r>
    </w:p>
    <w:p w:rsidR="00F962C0" w:rsidRDefault="00BC4CCF" w:rsidP="0038585F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</w:rPr>
        <w:t>Con relación al comportamiento del</w:t>
      </w:r>
      <w:r w:rsidR="0038585F" w:rsidRPr="00D3594D">
        <w:rPr>
          <w:rFonts w:ascii="Century Gothic" w:hAnsi="Century Gothic" w:cs="MyriadPro-Regular"/>
        </w:rPr>
        <w:t xml:space="preserve"> IPC</w:t>
      </w:r>
      <w:r>
        <w:rPr>
          <w:rFonts w:ascii="Century Gothic" w:hAnsi="Century Gothic" w:cs="MyriadPro-Regular"/>
        </w:rPr>
        <w:t xml:space="preserve"> según ciudades</w:t>
      </w:r>
      <w:r w:rsidR="0038585F" w:rsidRPr="00D3594D">
        <w:rPr>
          <w:rFonts w:ascii="Century Gothic" w:hAnsi="Century Gothic" w:cs="MyriadPro-Regular"/>
        </w:rPr>
        <w:t xml:space="preserve">, </w:t>
      </w:r>
      <w:r w:rsidR="00FA7A64">
        <w:rPr>
          <w:rFonts w:ascii="Century Gothic" w:hAnsi="Century Gothic" w:cs="MyriadPro-Regular"/>
        </w:rPr>
        <w:t>hasta octubre</w:t>
      </w:r>
      <w:r>
        <w:rPr>
          <w:rFonts w:ascii="Century Gothic" w:hAnsi="Century Gothic" w:cs="MyriadPro-Regular"/>
        </w:rPr>
        <w:t>,</w:t>
      </w:r>
      <w:r w:rsidR="005F3C2B">
        <w:rPr>
          <w:rFonts w:ascii="Century Gothic" w:hAnsi="Century Gothic" w:cs="MyriadPro-Regular"/>
        </w:rPr>
        <w:t xml:space="preserve"> </w:t>
      </w:r>
      <w:r w:rsidR="0038585F" w:rsidRPr="00D3594D">
        <w:rPr>
          <w:rFonts w:ascii="Century Gothic" w:hAnsi="Century Gothic" w:cs="MyriadPro-Regular"/>
        </w:rPr>
        <w:t xml:space="preserve">los precios de los alimentos </w:t>
      </w:r>
      <w:r w:rsidR="009129ED">
        <w:rPr>
          <w:rFonts w:ascii="Century Gothic" w:hAnsi="Century Gothic" w:cs="MyriadPro-Regular"/>
        </w:rPr>
        <w:t>y bebidas consumid</w:t>
      </w:r>
      <w:r w:rsidR="008247B2">
        <w:rPr>
          <w:rFonts w:ascii="Century Gothic" w:hAnsi="Century Gothic" w:cs="MyriadPro-Regular"/>
        </w:rPr>
        <w:t>os en el hogar</w:t>
      </w:r>
      <w:r w:rsidR="009129ED">
        <w:rPr>
          <w:rFonts w:ascii="Century Gothic" w:hAnsi="Century Gothic" w:cs="MyriadPro-Regular"/>
        </w:rPr>
        <w:t xml:space="preserve"> </w:t>
      </w:r>
      <w:r w:rsidR="0038585F" w:rsidRPr="00D3594D">
        <w:rPr>
          <w:rFonts w:ascii="Century Gothic" w:hAnsi="Century Gothic" w:cs="MyriadPro-Regular"/>
        </w:rPr>
        <w:t>se habr</w:t>
      </w:r>
      <w:r w:rsidR="00D34AD8">
        <w:rPr>
          <w:rFonts w:ascii="Century Gothic" w:hAnsi="Century Gothic" w:cs="MyriadPro-Regular"/>
        </w:rPr>
        <w:t xml:space="preserve">ían reducido en </w:t>
      </w:r>
      <w:r w:rsidR="00FA7A64">
        <w:rPr>
          <w:rFonts w:ascii="Century Gothic" w:hAnsi="Century Gothic" w:cs="MyriadPro-Regular"/>
        </w:rPr>
        <w:t>Trinidad</w:t>
      </w:r>
      <w:r w:rsidR="00445B5B">
        <w:rPr>
          <w:rFonts w:ascii="Century Gothic" w:hAnsi="Century Gothic" w:cs="MyriadPro-Regular"/>
        </w:rPr>
        <w:t>, con -0,02</w:t>
      </w:r>
      <w:r w:rsidR="00C714C7">
        <w:rPr>
          <w:rFonts w:ascii="Century Gothic" w:hAnsi="Century Gothic" w:cs="MyriadPro-Regular"/>
        </w:rPr>
        <w:t xml:space="preserve">; en cambio, subieron en </w:t>
      </w:r>
      <w:r w:rsidR="00FA7A64" w:rsidRPr="00FA7A64">
        <w:rPr>
          <w:rFonts w:ascii="Century Gothic" w:hAnsi="Century Gothic" w:cs="MyriadPro-Regular"/>
        </w:rPr>
        <w:t xml:space="preserve">Sucre </w:t>
      </w:r>
      <w:r w:rsidR="00FA7A64">
        <w:rPr>
          <w:rFonts w:ascii="Century Gothic" w:hAnsi="Century Gothic" w:cs="MyriadPro-Regular"/>
        </w:rPr>
        <w:t>11</w:t>
      </w:r>
      <w:r w:rsidR="00FA7A64" w:rsidRPr="00FA7A64">
        <w:rPr>
          <w:rFonts w:ascii="Century Gothic" w:hAnsi="Century Gothic" w:cs="MyriadPro-Regular"/>
        </w:rPr>
        <w:t>%</w:t>
      </w:r>
      <w:r w:rsidR="00C714C7">
        <w:rPr>
          <w:rFonts w:ascii="Century Gothic" w:hAnsi="Century Gothic" w:cs="MyriadPro-Regular"/>
        </w:rPr>
        <w:t>,</w:t>
      </w:r>
      <w:r w:rsidR="00FA7A64" w:rsidRPr="00FA7A64">
        <w:rPr>
          <w:rFonts w:ascii="Century Gothic" w:hAnsi="Century Gothic" w:cs="MyriadPro-Regular"/>
        </w:rPr>
        <w:t xml:space="preserve"> Potosí </w:t>
      </w:r>
      <w:r w:rsidR="00FA7A64">
        <w:rPr>
          <w:rFonts w:ascii="Century Gothic" w:hAnsi="Century Gothic" w:cs="MyriadPro-Regular"/>
        </w:rPr>
        <w:t>10</w:t>
      </w:r>
      <w:r w:rsidR="00FA7A64" w:rsidRPr="00FA7A64">
        <w:rPr>
          <w:rFonts w:ascii="Century Gothic" w:hAnsi="Century Gothic" w:cs="MyriadPro-Regular"/>
        </w:rPr>
        <w:t>,</w:t>
      </w:r>
      <w:r w:rsidR="00FA7A64">
        <w:rPr>
          <w:rFonts w:ascii="Century Gothic" w:hAnsi="Century Gothic" w:cs="MyriadPro-Regular"/>
        </w:rPr>
        <w:t>7</w:t>
      </w:r>
      <w:r w:rsidR="00FA7A64" w:rsidRPr="00FA7A64">
        <w:rPr>
          <w:rFonts w:ascii="Century Gothic" w:hAnsi="Century Gothic" w:cs="MyriadPro-Regular"/>
        </w:rPr>
        <w:t>%</w:t>
      </w:r>
      <w:r w:rsidR="00C714C7">
        <w:rPr>
          <w:rFonts w:ascii="Century Gothic" w:hAnsi="Century Gothic" w:cs="MyriadPro-Regular"/>
        </w:rPr>
        <w:t>,</w:t>
      </w:r>
      <w:r w:rsidR="00FA7A64" w:rsidRPr="00FA7A64">
        <w:rPr>
          <w:rFonts w:ascii="Century Gothic" w:hAnsi="Century Gothic" w:cs="MyriadPro-Regular"/>
        </w:rPr>
        <w:t xml:space="preserve"> Cochabamba 9,</w:t>
      </w:r>
      <w:r w:rsidR="00FA7A64">
        <w:rPr>
          <w:rFonts w:ascii="Century Gothic" w:hAnsi="Century Gothic" w:cs="MyriadPro-Regular"/>
        </w:rPr>
        <w:t>5</w:t>
      </w:r>
      <w:r w:rsidR="00C714C7">
        <w:rPr>
          <w:rFonts w:ascii="Century Gothic" w:hAnsi="Century Gothic" w:cs="MyriadPro-Regular"/>
        </w:rPr>
        <w:t>% y Tarija</w:t>
      </w:r>
      <w:r w:rsidR="00FA7A64" w:rsidRPr="00FA7A64">
        <w:rPr>
          <w:rFonts w:ascii="Century Gothic" w:hAnsi="Century Gothic" w:cs="MyriadPro-Regular"/>
        </w:rPr>
        <w:t xml:space="preserve"> 6,4%.</w:t>
      </w:r>
    </w:p>
    <w:p w:rsidR="000E48E4" w:rsidRDefault="00FA7A64" w:rsidP="000E48E4">
      <w:pPr>
        <w:pStyle w:val="Sinespaciado1"/>
        <w:spacing w:before="120" w:after="120"/>
        <w:jc w:val="center"/>
        <w:rPr>
          <w:rFonts w:ascii="Century Gothic" w:hAnsi="Century Gothic" w:cs="MyriadPro-Regular"/>
        </w:rPr>
      </w:pPr>
      <w:r w:rsidRPr="00FA7A64">
        <w:rPr>
          <w:noProof/>
          <w:lang w:val="es-ES_tradnl" w:eastAsia="es-ES_tradnl"/>
        </w:rPr>
        <w:drawing>
          <wp:inline distT="0" distB="0" distL="0" distR="0">
            <wp:extent cx="4090988" cy="2270742"/>
            <wp:effectExtent l="0" t="0" r="508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091" cy="227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E73" w:rsidRDefault="009129ED" w:rsidP="009129ED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  <w:r w:rsidRPr="00DC3D49">
        <w:rPr>
          <w:rFonts w:ascii="Century Gothic" w:hAnsi="Century Gothic" w:cs="MyriadPro-Regular"/>
        </w:rPr>
        <w:t xml:space="preserve">Respecto de los precios de alimentos consumidos fuera del hogar, </w:t>
      </w:r>
      <w:r w:rsidR="0079663D" w:rsidRPr="00DC3D49">
        <w:rPr>
          <w:rFonts w:ascii="Century Gothic" w:hAnsi="Century Gothic" w:cs="MyriadPro-Regular"/>
        </w:rPr>
        <w:t>la varia</w:t>
      </w:r>
      <w:r w:rsidR="00D34AD8">
        <w:rPr>
          <w:rFonts w:ascii="Century Gothic" w:hAnsi="Century Gothic" w:cs="MyriadPro-Regular"/>
        </w:rPr>
        <w:t>ción acumulada</w:t>
      </w:r>
      <w:r w:rsidR="0079663D" w:rsidRPr="00DC3D49">
        <w:rPr>
          <w:rFonts w:ascii="Century Gothic" w:hAnsi="Century Gothic" w:cs="MyriadPro-Regular"/>
        </w:rPr>
        <w:t xml:space="preserve"> </w:t>
      </w:r>
      <w:r w:rsidR="00DC3D49" w:rsidRPr="00DC3D49">
        <w:rPr>
          <w:rFonts w:ascii="Century Gothic" w:hAnsi="Century Gothic" w:cs="MyriadPro-Regular"/>
        </w:rPr>
        <w:t xml:space="preserve">muestra </w:t>
      </w:r>
      <w:r w:rsidR="00C714C7">
        <w:rPr>
          <w:rFonts w:ascii="Century Gothic" w:hAnsi="Century Gothic" w:cs="MyriadPro-Regular"/>
        </w:rPr>
        <w:t xml:space="preserve">incrementos superiores al promedio </w:t>
      </w:r>
      <w:r w:rsidR="00445B5B">
        <w:rPr>
          <w:rFonts w:ascii="Century Gothic" w:hAnsi="Century Gothic" w:cs="MyriadPro-Regular"/>
        </w:rPr>
        <w:t xml:space="preserve">nacional </w:t>
      </w:r>
      <w:r w:rsidR="00C714C7">
        <w:rPr>
          <w:rFonts w:ascii="Century Gothic" w:hAnsi="Century Gothic" w:cs="MyriadPro-Regular"/>
        </w:rPr>
        <w:t xml:space="preserve">en </w:t>
      </w:r>
      <w:r w:rsidR="00024E73" w:rsidRPr="00DC3D49">
        <w:rPr>
          <w:rFonts w:ascii="Century Gothic" w:hAnsi="Century Gothic" w:cs="MyriadPro-Regular"/>
        </w:rPr>
        <w:t>La Paz</w:t>
      </w:r>
      <w:r w:rsidR="00024E73">
        <w:rPr>
          <w:rFonts w:ascii="Century Gothic" w:hAnsi="Century Gothic" w:cs="MyriadPro-Regular"/>
        </w:rPr>
        <w:t xml:space="preserve">, </w:t>
      </w:r>
      <w:r w:rsidR="00C714C7">
        <w:rPr>
          <w:rFonts w:ascii="Century Gothic" w:hAnsi="Century Gothic" w:cs="MyriadPro-Regular"/>
        </w:rPr>
        <w:t xml:space="preserve">con </w:t>
      </w:r>
      <w:r w:rsidR="00024E73">
        <w:rPr>
          <w:rFonts w:ascii="Century Gothic" w:hAnsi="Century Gothic" w:cs="MyriadPro-Regular"/>
        </w:rPr>
        <w:t xml:space="preserve">3,09%; </w:t>
      </w:r>
      <w:r w:rsidR="00DC3D49" w:rsidRPr="00DC3D49">
        <w:rPr>
          <w:rFonts w:ascii="Century Gothic" w:hAnsi="Century Gothic" w:cs="MyriadPro-Regular"/>
        </w:rPr>
        <w:t>Oruro</w:t>
      </w:r>
      <w:r w:rsidR="00C714C7">
        <w:rPr>
          <w:rFonts w:ascii="Century Gothic" w:hAnsi="Century Gothic" w:cs="MyriadPro-Regular"/>
        </w:rPr>
        <w:t>, con</w:t>
      </w:r>
      <w:r w:rsidR="00DC3D49" w:rsidRPr="00DC3D49">
        <w:rPr>
          <w:rFonts w:ascii="Century Gothic" w:hAnsi="Century Gothic" w:cs="MyriadPro-Regular"/>
        </w:rPr>
        <w:t xml:space="preserve"> </w:t>
      </w:r>
      <w:r w:rsidR="00024E73">
        <w:rPr>
          <w:rFonts w:ascii="Century Gothic" w:hAnsi="Century Gothic" w:cs="MyriadPro-Regular"/>
        </w:rPr>
        <w:t xml:space="preserve">2,96% y </w:t>
      </w:r>
      <w:r w:rsidR="00DC3D49" w:rsidRPr="00DC3D49">
        <w:rPr>
          <w:rFonts w:ascii="Century Gothic" w:hAnsi="Century Gothic" w:cs="MyriadPro-Regular"/>
        </w:rPr>
        <w:t>Tarija</w:t>
      </w:r>
      <w:r w:rsidR="00D34AD8">
        <w:rPr>
          <w:rFonts w:ascii="Century Gothic" w:hAnsi="Century Gothic" w:cs="MyriadPro-Regular"/>
        </w:rPr>
        <w:t>,</w:t>
      </w:r>
      <w:r w:rsidR="00DC3D49" w:rsidRPr="00DC3D49">
        <w:rPr>
          <w:rFonts w:ascii="Century Gothic" w:hAnsi="Century Gothic" w:cs="MyriadPro-Regular"/>
        </w:rPr>
        <w:t xml:space="preserve"> </w:t>
      </w:r>
      <w:r w:rsidR="00C714C7">
        <w:rPr>
          <w:rFonts w:ascii="Century Gothic" w:hAnsi="Century Gothic" w:cs="MyriadPro-Regular"/>
        </w:rPr>
        <w:t xml:space="preserve">con </w:t>
      </w:r>
      <w:r w:rsidR="00DC3D49" w:rsidRPr="00DC3D49">
        <w:rPr>
          <w:rFonts w:ascii="Century Gothic" w:hAnsi="Century Gothic" w:cs="MyriadPro-Regular"/>
        </w:rPr>
        <w:t>2,</w:t>
      </w:r>
      <w:r w:rsidR="00024E73">
        <w:rPr>
          <w:rFonts w:ascii="Century Gothic" w:hAnsi="Century Gothic" w:cs="MyriadPro-Regular"/>
        </w:rPr>
        <w:t>39</w:t>
      </w:r>
      <w:r w:rsidR="00DC3D49" w:rsidRPr="00DC3D49">
        <w:rPr>
          <w:rFonts w:ascii="Century Gothic" w:hAnsi="Century Gothic" w:cs="MyriadPro-Regular"/>
        </w:rPr>
        <w:t>%</w:t>
      </w:r>
      <w:r w:rsidR="00596D0F">
        <w:rPr>
          <w:rFonts w:ascii="Century Gothic" w:hAnsi="Century Gothic" w:cs="MyriadPro-Regular"/>
        </w:rPr>
        <w:t>.</w:t>
      </w:r>
      <w:bookmarkStart w:id="0" w:name="_GoBack"/>
      <w:bookmarkEnd w:id="0"/>
    </w:p>
    <w:p w:rsidR="0079663D" w:rsidRDefault="00024E73" w:rsidP="00606DF7">
      <w:pPr>
        <w:pStyle w:val="Sinespaciado1"/>
        <w:spacing w:before="120" w:after="120"/>
        <w:jc w:val="center"/>
        <w:rPr>
          <w:rFonts w:ascii="Century Gothic" w:hAnsi="Century Gothic" w:cs="MyriadPro-Regular"/>
        </w:rPr>
      </w:pPr>
      <w:r w:rsidRPr="00024E73">
        <w:rPr>
          <w:noProof/>
          <w:lang w:val="es-ES_tradnl" w:eastAsia="es-ES_tradnl"/>
        </w:rPr>
        <w:drawing>
          <wp:inline distT="0" distB="0" distL="0" distR="0">
            <wp:extent cx="4048125" cy="2432631"/>
            <wp:effectExtent l="0" t="0" r="0" b="635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206" cy="243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0C0" w:rsidRPr="009169A6" w:rsidRDefault="008740C0" w:rsidP="008740C0">
      <w:pPr>
        <w:pStyle w:val="Sinespaciado1"/>
        <w:spacing w:before="120" w:after="120"/>
        <w:rPr>
          <w:rFonts w:ascii="Century Gothic" w:hAnsi="Century Gothic" w:cs="MyriadPro-Regular"/>
          <w:color w:val="7F7F7F"/>
          <w:sz w:val="16"/>
        </w:rPr>
      </w:pPr>
      <w:r w:rsidRPr="009169A6">
        <w:rPr>
          <w:rFonts w:ascii="Century Gothic" w:hAnsi="Century Gothic" w:cs="MyriadPro-Regular"/>
          <w:color w:val="7F7F7F"/>
          <w:sz w:val="16"/>
        </w:rPr>
        <w:t>Fundación Jubileo</w:t>
      </w:r>
      <w:r w:rsidRPr="009169A6">
        <w:rPr>
          <w:rFonts w:ascii="Century Gothic" w:hAnsi="Century Gothic" w:cs="MyriadPro-Regular"/>
          <w:color w:val="7F7F7F"/>
          <w:sz w:val="16"/>
        </w:rPr>
        <w:br/>
      </w:r>
      <w:r w:rsidR="00024E73">
        <w:rPr>
          <w:rFonts w:ascii="Century Gothic" w:hAnsi="Century Gothic" w:cs="MyriadPro-Regular"/>
          <w:color w:val="7F7F7F"/>
          <w:sz w:val="16"/>
        </w:rPr>
        <w:t>Noviembre</w:t>
      </w:r>
      <w:r w:rsidR="00511B03">
        <w:rPr>
          <w:rFonts w:ascii="Century Gothic" w:hAnsi="Century Gothic" w:cs="MyriadPro-Regular"/>
          <w:color w:val="7F7F7F"/>
          <w:sz w:val="16"/>
        </w:rPr>
        <w:t xml:space="preserve"> </w:t>
      </w:r>
      <w:r w:rsidRPr="009169A6">
        <w:rPr>
          <w:rFonts w:ascii="Century Gothic" w:hAnsi="Century Gothic" w:cs="MyriadPro-Regular"/>
          <w:color w:val="7F7F7F"/>
          <w:sz w:val="16"/>
        </w:rPr>
        <w:t>201</w:t>
      </w:r>
      <w:r w:rsidR="00511B03">
        <w:rPr>
          <w:rFonts w:ascii="Century Gothic" w:hAnsi="Century Gothic" w:cs="MyriadPro-Regular"/>
          <w:color w:val="7F7F7F"/>
          <w:sz w:val="16"/>
        </w:rPr>
        <w:t>6</w:t>
      </w:r>
    </w:p>
    <w:sectPr w:rsidR="008740C0" w:rsidRPr="009169A6" w:rsidSect="008740C0">
      <w:headerReference w:type="default" r:id="rId13"/>
      <w:footerReference w:type="default" r:id="rId14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336A94" w:rsidRDefault="00336A94" w:rsidP="008740C0">
      <w:pPr>
        <w:spacing w:after="0" w:line="240" w:lineRule="auto"/>
      </w:pPr>
      <w:r>
        <w:separator/>
      </w:r>
    </w:p>
  </w:endnote>
  <w:endnote w:type="continuationSeparator" w:id="1">
    <w:p w:rsidR="00336A94" w:rsidRDefault="00336A94" w:rsidP="0087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336A94" w:rsidRPr="00531C65" w:rsidRDefault="00336A94">
    <w:pPr>
      <w:pStyle w:val="Piedepgina"/>
      <w:jc w:val="right"/>
      <w:rPr>
        <w:sz w:val="20"/>
      </w:rPr>
    </w:pPr>
    <w:fldSimple w:instr=" PAGE   \* MERGEFORMAT ">
      <w:r w:rsidR="002432B4" w:rsidRPr="002432B4">
        <w:rPr>
          <w:noProof/>
          <w:sz w:val="20"/>
        </w:rPr>
        <w:t>3</w:t>
      </w:r>
    </w:fldSimple>
  </w:p>
  <w:p w:rsidR="00336A94" w:rsidRPr="00531C65" w:rsidRDefault="00336A94">
    <w:pPr>
      <w:pStyle w:val="Piedepgina"/>
      <w:rPr>
        <w:sz w:val="20"/>
      </w:rPr>
    </w:pPr>
    <w:r w:rsidRPr="00161BD3">
      <w:rPr>
        <w:noProof/>
        <w:sz w:val="20"/>
        <w:lang w:eastAsia="es-ES"/>
      </w:rPr>
      <w:pict>
        <v:rect id="Rectangle 4" o:spid="_x0000_s4096" style="position:absolute;margin-left:-11.3pt;margin-top:6.6pt;width:474pt;height:5.3pt;flip:y;z-index:25165824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-34 0 -34 15428 21600 15428 21600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" fillcolor="#036" stroked="f">
          <w10:wrap type="tight"/>
        </v:rect>
      </w:pict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336A94" w:rsidRDefault="00336A94" w:rsidP="008740C0">
      <w:pPr>
        <w:spacing w:after="0" w:line="240" w:lineRule="auto"/>
      </w:pPr>
      <w:r>
        <w:separator/>
      </w:r>
    </w:p>
  </w:footnote>
  <w:footnote w:type="continuationSeparator" w:id="1">
    <w:p w:rsidR="00336A94" w:rsidRDefault="00336A94" w:rsidP="0087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336A94" w:rsidRDefault="00336A94">
    <w:pPr>
      <w:pStyle w:val="Encabezado"/>
    </w:pPr>
    <w:r w:rsidRPr="00161BD3">
      <w:rPr>
        <w:noProof/>
        <w:lang w:eastAsia="es-ES"/>
      </w:rPr>
      <w:pict>
        <v:group id="Group 1" o:spid="_x0000_s4097" style="position:absolute;margin-left:-11.3pt;margin-top:5.4pt;width:471pt;height:5.3pt;z-index:251657216" coordorigin="1699,3060" coordsize="8820,115" wrapcoords="-34 0 -34 3085 17369 15428 19329 15428 21634 15428 21668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">
          <v:line id="Line 2" o:spid="_x0000_s4099" style="position:absolute;visibility:visible;mso-wrap-style:square" from="1699,3060" to="10519,3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FFc8AAAADaAAAADwAAAGRycy9kb3ducmV2LnhtbESPQYvCMBSE74L/ITxhb5q6ByvVKEUQ&#10;Vk9WBa+P5tkWm5fSRFP//WZhweMwM98w6+1gWvGi3jWWFcxnCQji0uqGKwXXy366BOE8ssbWMil4&#10;k4PtZjxaY6Zt4IJeZ1+JCGGXoYLa+y6T0pU1GXQz2xFH7257gz7KvpK6xxDhppXfSbKQBhuOCzV2&#10;tKupfJyfRsEtD7f54ZIHv0+LU9idBnNMC6W+JkO+AuFp8J/wf/tHK0jh70q8AXL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VRRXPAAAAA2gAAAA8AAAAAAAAAAAAAAAAA&#10;oQIAAGRycy9kb3ducmV2LnhtbFBLBQYAAAAABAAEAPkAAACOAwAAAAA=&#10;" strokecolor="#036"/>
          <v:rect id="Rectangle 3" o:spid="_x0000_s4098" style="position:absolute;left:9619;top:3060;width:900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0T88UA&#10;AADaAAAADwAAAGRycy9kb3ducmV2LnhtbESPQWvCQBSE7wX/w/IKXopu7EFqmo2IEigFi01U8PbI&#10;viah2bchu5r033eFQo/DzHzDJOvRtOJGvWssK1jMIxDEpdUNVwqORTZ7AeE8ssbWMin4IQfrdPKQ&#10;YKztwJ90y30lAoRdjApq77tYSlfWZNDNbUccvC/bG/RB9pXUPQ4Bblr5HEVLabDhsFBjR9uayu/8&#10;ahQU2ftl+Fgt95fm6bQ7VNn+nG+0UtPHcfMKwtPo/8N/7TetYAX3K+EG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bRPzxQAAANoAAAAPAAAAAAAAAAAAAAAAAJgCAABkcnMv&#10;ZG93bnJldi54bWxQSwUGAAAAAAQABAD1AAAAigMAAAAA&#10;" fillcolor="#036" stroked="f"/>
          <w10:wrap type="tight"/>
        </v:group>
      </w:pic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7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02">
      <o:colormru v:ext="edit" colors="#4c9fff,#e6f1ff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C7E17"/>
    <w:rsid w:val="00024A4E"/>
    <w:rsid w:val="00024E73"/>
    <w:rsid w:val="00074CE5"/>
    <w:rsid w:val="000A0CA6"/>
    <w:rsid w:val="000A415A"/>
    <w:rsid w:val="000C3C2B"/>
    <w:rsid w:val="000E48E4"/>
    <w:rsid w:val="000E7736"/>
    <w:rsid w:val="000F23EB"/>
    <w:rsid w:val="000F7F4A"/>
    <w:rsid w:val="00123E98"/>
    <w:rsid w:val="00161BD3"/>
    <w:rsid w:val="001B0C85"/>
    <w:rsid w:val="001C7E17"/>
    <w:rsid w:val="001E05D0"/>
    <w:rsid w:val="00205FBB"/>
    <w:rsid w:val="002432B4"/>
    <w:rsid w:val="00264112"/>
    <w:rsid w:val="002C15B8"/>
    <w:rsid w:val="003005AD"/>
    <w:rsid w:val="00330C4B"/>
    <w:rsid w:val="00336A94"/>
    <w:rsid w:val="003405CD"/>
    <w:rsid w:val="003647BF"/>
    <w:rsid w:val="0038585F"/>
    <w:rsid w:val="00445B5B"/>
    <w:rsid w:val="00445D3F"/>
    <w:rsid w:val="0048590A"/>
    <w:rsid w:val="004A07D2"/>
    <w:rsid w:val="004C1A10"/>
    <w:rsid w:val="004E236D"/>
    <w:rsid w:val="00511B03"/>
    <w:rsid w:val="00522C78"/>
    <w:rsid w:val="00533493"/>
    <w:rsid w:val="00542B6E"/>
    <w:rsid w:val="00551E63"/>
    <w:rsid w:val="005702ED"/>
    <w:rsid w:val="0059490D"/>
    <w:rsid w:val="00596D0F"/>
    <w:rsid w:val="005E58FE"/>
    <w:rsid w:val="005F3C2B"/>
    <w:rsid w:val="00606DF7"/>
    <w:rsid w:val="00610425"/>
    <w:rsid w:val="00626D08"/>
    <w:rsid w:val="00634DC9"/>
    <w:rsid w:val="006F317F"/>
    <w:rsid w:val="00712F3E"/>
    <w:rsid w:val="00726A36"/>
    <w:rsid w:val="0076297F"/>
    <w:rsid w:val="0079663D"/>
    <w:rsid w:val="007D4A2F"/>
    <w:rsid w:val="007D5F41"/>
    <w:rsid w:val="008034BC"/>
    <w:rsid w:val="008046CC"/>
    <w:rsid w:val="008247B2"/>
    <w:rsid w:val="00872C96"/>
    <w:rsid w:val="008740C0"/>
    <w:rsid w:val="009129ED"/>
    <w:rsid w:val="009169A6"/>
    <w:rsid w:val="009E144C"/>
    <w:rsid w:val="009E6CEE"/>
    <w:rsid w:val="009F6E83"/>
    <w:rsid w:val="00A02C98"/>
    <w:rsid w:val="00A1274A"/>
    <w:rsid w:val="00A375BD"/>
    <w:rsid w:val="00AE070D"/>
    <w:rsid w:val="00B41617"/>
    <w:rsid w:val="00B70CB4"/>
    <w:rsid w:val="00BC4CCF"/>
    <w:rsid w:val="00BE5190"/>
    <w:rsid w:val="00BF3064"/>
    <w:rsid w:val="00C31F86"/>
    <w:rsid w:val="00C61D5D"/>
    <w:rsid w:val="00C714C7"/>
    <w:rsid w:val="00C95F0A"/>
    <w:rsid w:val="00CD04A7"/>
    <w:rsid w:val="00CD51C1"/>
    <w:rsid w:val="00CF02D9"/>
    <w:rsid w:val="00D320B9"/>
    <w:rsid w:val="00D34AD8"/>
    <w:rsid w:val="00D3594D"/>
    <w:rsid w:val="00D44C73"/>
    <w:rsid w:val="00D453ED"/>
    <w:rsid w:val="00DC3D49"/>
    <w:rsid w:val="00DE1B5F"/>
    <w:rsid w:val="00E10F9B"/>
    <w:rsid w:val="00E53EE5"/>
    <w:rsid w:val="00EA2F17"/>
    <w:rsid w:val="00EA7C2E"/>
    <w:rsid w:val="00EB4BD3"/>
    <w:rsid w:val="00ED6348"/>
    <w:rsid w:val="00EF7324"/>
    <w:rsid w:val="00F14524"/>
    <w:rsid w:val="00F54F95"/>
    <w:rsid w:val="00F77493"/>
    <w:rsid w:val="00F962C0"/>
    <w:rsid w:val="00FA7A64"/>
    <w:rsid w:val="00FD4A60"/>
    <w:rsid w:val="00FF1B2B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2">
      <o:colormru v:ext="edit" colors="#4c9fff,#e6f1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Medium Grid 2" w:qFormat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1Car">
    <w:name w:val="Título 1 Ca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Medium Grid 2" w:qFormat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emf"/><Relationship Id="rId12" Type="http://schemas.openxmlformats.org/officeDocument/2006/relationships/image" Target="media/image6.emf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434</Words>
  <Characters>2477</Characters>
  <Application>Microsoft Word 12.0.0</Application>
  <DocSecurity>0</DocSecurity>
  <Lines>20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Fundación Jubileo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Jubileo MAC</cp:lastModifiedBy>
  <cp:revision>3</cp:revision>
  <cp:lastPrinted>2016-11-07T20:32:00Z</cp:lastPrinted>
  <dcterms:created xsi:type="dcterms:W3CDTF">2016-11-07T20:32:00Z</dcterms:created>
  <dcterms:modified xsi:type="dcterms:W3CDTF">2016-11-07T20:54:00Z</dcterms:modified>
</cp:coreProperties>
</file>