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EADC08" w14:textId="77777777" w:rsidR="008740C0" w:rsidRPr="008B39AC" w:rsidRDefault="00ED6348" w:rsidP="008740C0">
      <w:pPr>
        <w:jc w:val="center"/>
        <w:rPr>
          <w:rFonts w:ascii="Century Gothic" w:hAnsi="Century Gothic"/>
          <w:b/>
          <w:color w:val="1F497D"/>
          <w:sz w:val="28"/>
        </w:rPr>
      </w:pPr>
      <w:r>
        <w:rPr>
          <w:rFonts w:ascii="Century Gothic" w:hAnsi="Century Gothic"/>
          <w:noProof/>
          <w:sz w:val="12"/>
          <w:lang w:val="es-ES_tradnl" w:eastAsia="es-ES_tradnl"/>
        </w:rPr>
        <w:drawing>
          <wp:anchor distT="0" distB="0" distL="114300" distR="114300" simplePos="0" relativeHeight="251657216" behindDoc="0" locked="0" layoutInCell="1" allowOverlap="1" wp14:anchorId="1C7E4653" wp14:editId="335CA569">
            <wp:simplePos x="0" y="0"/>
            <wp:positionH relativeFrom="column">
              <wp:posOffset>2305050</wp:posOffset>
            </wp:positionH>
            <wp:positionV relativeFrom="paragraph">
              <wp:posOffset>-111760</wp:posOffset>
            </wp:positionV>
            <wp:extent cx="950595" cy="567055"/>
            <wp:effectExtent l="0" t="0" r="1905" b="4445"/>
            <wp:wrapNone/>
            <wp:docPr id="5" name="Imagen 4" descr="Logo JUBILEO 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Logo JUBILEO 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7EB2F" w14:textId="77777777" w:rsidR="008740C0" w:rsidRPr="00BA3221" w:rsidRDefault="008740C0" w:rsidP="008740C0">
      <w:pPr>
        <w:jc w:val="center"/>
        <w:rPr>
          <w:rFonts w:ascii="Century Gothic" w:hAnsi="Century Gothic"/>
          <w:b/>
          <w:color w:val="1F497D"/>
          <w:sz w:val="27"/>
        </w:rPr>
      </w:pPr>
    </w:p>
    <w:p w14:paraId="75D64077" w14:textId="77777777" w:rsidR="00A87ACA" w:rsidRDefault="00B5198C" w:rsidP="008740C0">
      <w:pPr>
        <w:pStyle w:val="Sinespaciado1"/>
        <w:jc w:val="center"/>
        <w:rPr>
          <w:rFonts w:ascii="Century Gothic" w:hAnsi="Century Gothic"/>
          <w:b/>
          <w:sz w:val="27"/>
          <w:szCs w:val="28"/>
        </w:rPr>
      </w:pPr>
      <w:r>
        <w:rPr>
          <w:rFonts w:ascii="Century Gothic" w:hAnsi="Century Gothic"/>
          <w:b/>
          <w:sz w:val="27"/>
          <w:szCs w:val="28"/>
        </w:rPr>
        <w:t>AUMENTA LA IMPORTACIÓN DE ALIMENTOS EN 28,9%</w:t>
      </w:r>
    </w:p>
    <w:p w14:paraId="3773FFA1" w14:textId="7C791C34" w:rsidR="00B5198C" w:rsidRPr="00F33E37" w:rsidRDefault="00F33E37" w:rsidP="008740C0">
      <w:pPr>
        <w:pStyle w:val="Sinespaciado1"/>
        <w:jc w:val="center"/>
        <w:rPr>
          <w:rFonts w:ascii="Century Gothic" w:hAnsi="Century Gothic"/>
          <w:b/>
          <w:sz w:val="27"/>
          <w:szCs w:val="28"/>
        </w:rPr>
      </w:pPr>
      <w:r w:rsidRPr="00F33E37">
        <w:rPr>
          <w:rFonts w:ascii="Century Gothic" w:hAnsi="Century Gothic"/>
          <w:b/>
          <w:sz w:val="27"/>
          <w:szCs w:val="28"/>
        </w:rPr>
        <w:t>AL PRIMER BIMESTRE DE 2017</w:t>
      </w:r>
    </w:p>
    <w:p w14:paraId="78229AA0" w14:textId="77777777" w:rsidR="008740C0" w:rsidRPr="008B39AC" w:rsidRDefault="00ED6348" w:rsidP="008740C0">
      <w:pPr>
        <w:pStyle w:val="Sinespaciado1"/>
        <w:jc w:val="center"/>
        <w:rPr>
          <w:rFonts w:ascii="Century Gothic" w:hAnsi="Century Gothic"/>
          <w:b/>
          <w:sz w:val="24"/>
          <w:szCs w:val="28"/>
        </w:rPr>
      </w:pPr>
      <w:r>
        <w:rPr>
          <w:rFonts w:ascii="Century Gothic" w:hAnsi="Century Gothic" w:cs="MyriadPro-Regular"/>
          <w:i/>
          <w:noProof/>
          <w:szCs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4427D06" wp14:editId="05C2F46C">
                <wp:simplePos x="0" y="0"/>
                <wp:positionH relativeFrom="column">
                  <wp:posOffset>-50232</wp:posOffset>
                </wp:positionH>
                <wp:positionV relativeFrom="paragraph">
                  <wp:posOffset>165402</wp:posOffset>
                </wp:positionV>
                <wp:extent cx="5848350" cy="926164"/>
                <wp:effectExtent l="0" t="0" r="19050" b="3937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9261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6F1FF">
                            <a:alpha val="99001"/>
                          </a:srgbClr>
                        </a:solidFill>
                        <a:ln w="190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</wps:spPr>
                      <wps:txbx>
                        <w:txbxContent>
                          <w:p w14:paraId="2A544454" w14:textId="77777777" w:rsidR="002B157B" w:rsidRDefault="002B157B" w:rsidP="00D65CE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427D06" id="AutoShape 7" o:spid="_x0000_s1026" style="position:absolute;left:0;text-align:left;margin-left:-3.95pt;margin-top:13pt;width:460.5pt;height:72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00jooCAAA1BQAADgAAAGRycy9lMm9Eb2MueG1srFRtb9MwEP6OxH+w/J0lKV3XRkunvRUhbTAx&#10;EJ9d20kMjm3ObtPx6zk7Wek2xAdEK0V3fnnunufufHq26zTZSvDKmooWRzkl0nArlGkq+uXz6s2c&#10;Eh+YEUxbIyv6ID09W75+ddq7Uk5sa7WQQBDE+LJ3FW1DcGWWed7Kjvkj66TBzdpCxwK60GQCWI/o&#10;nc4meT7LegvCgeXSe1y9GjbpMuHXteThY117GYiuKOYW0hfSdx2/2fKUlQ0w1yo+psH+IYuOKYNB&#10;91BXLDCyAfUCqlMcrLd1OOK2y2xdKy4TB2RT5M/Y3LfMycQFxfFuL5P/f7D8w/YOiBJYu4ISwzqs&#10;0fkm2BSanER9eudLPHbv7iAy9O7G8u+eGHvZMtPIcwDbt5IJzKqI57MnF6Lj8SpZ97dWIDpD9CTV&#10;roYuAqIIZJcq8rCviNwFwnHxeD6dvz3GwnHcW0xmxWyaQrDy8bYDH95J25FoVBTsxohPWPYUgm1v&#10;fEhlESM3Jr5RUncai7xlmhSz2SyRzFg5HkbrETPRtVqJldI6OdCsLzUQvFrR69mqWK2GONq1bFhd&#10;LPJ8kAGlGo6jJGgf4mhDelRrkSO1vweZnp9cX1yMnJ9gJKapfaP410YkOzClBxtjahPBZRqDUQi7&#10;CRLuW9EToaJek+NpjvIKhTMRTfxRwnSDw8wDUAI2fFWhTe0Qq/NChXke/89VwJr9UYV9+KTJQWap&#10;aWKfDP0Wduvd2HprKx6wfTCR1CP41qDRWvhJSY9zW1H/Y8NAUqLfG2zBRTGdxkE/dODQWR86zHCE&#10;qmhA0sm8DMPjsHGgmhYjFYmasXEoahUe+3vIamx2nM3EZ3xH4vAf+unU79du+QsAAP//AwBQSwME&#10;FAAGAAgAAAAhALgHItfiAAAACQEAAA8AAABkcnMvZG93bnJldi54bWxMj11Lw0AQRd8F/8Mygi/S&#10;bpJKa2I2RRQRxA9MBV+32WkSm50N2U0b/fWOT/o43MOdc/P1ZDtxwMG3jhTE8wgEUuVMS7WC9839&#10;7AqED5qM7hyhgi/0sC5OT3KdGXekNzyUoRZcQj7TCpoQ+kxKXzVotZ+7HomznRusDnwOtTSDPnK5&#10;7WQSRUtpdUv8odE93jZY7cvRKvi8fHrsk+fdYhP2L69l8nA3flx8K3V+Nt1cgwg4hT8YfvVZHQp2&#10;2rqRjBedgtkqZVJBsuRJnKfxIgaxZXAVpyCLXP5fUPwAAAD//wMAUEsBAi0AFAAGAAgAAAAhAOSZ&#10;w8D7AAAA4QEAABMAAAAAAAAAAAAAAAAAAAAAAFtDb250ZW50X1R5cGVzXS54bWxQSwECLQAUAAYA&#10;CAAAACEAI7Jq4dcAAACUAQAACwAAAAAAAAAAAAAAAAAsAQAAX3JlbHMvLnJlbHNQSwECLQAUAAYA&#10;CAAAACEATK00jooCAAA1BQAADgAAAAAAAAAAAAAAAAAsAgAAZHJzL2Uyb0RvYy54bWxQSwECLQAU&#10;AAYACAAAACEAuAci1+IAAAAJAQAADwAAAAAAAAAAAAAAAADiBAAAZHJzL2Rvd25yZXYueG1sUEsF&#10;BgAAAAAEAAQA8wAAAPEFAAAAAA==&#10;" fillcolor="#e6f1ff" strokecolor="#4a7ebb" strokeweight="1.5pt">
                <v:fill opacity="64764f"/>
                <v:shadow on="t" color="gray" opacity="22938f" mv:blur="0" offset="0,2pt"/>
                <v:textbox inset=",7.2pt,,7.2pt">
                  <w:txbxContent>
                    <w:p w14:paraId="2A544454" w14:textId="77777777" w:rsidR="002B157B" w:rsidRDefault="002B157B" w:rsidP="00D65CE0"/>
                  </w:txbxContent>
                </v:textbox>
              </v:roundrect>
            </w:pict>
          </mc:Fallback>
        </mc:AlternateContent>
      </w:r>
    </w:p>
    <w:p w14:paraId="6292F5D7" w14:textId="77777777" w:rsidR="003405CD" w:rsidRDefault="00E81F6B" w:rsidP="006600C2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>L</w:t>
      </w:r>
      <w:r w:rsidR="00F1073D" w:rsidRPr="00423446">
        <w:rPr>
          <w:rFonts w:ascii="Century Gothic" w:hAnsi="Century Gothic" w:cs="MyriadPro-Regular"/>
          <w:i/>
          <w:szCs w:val="24"/>
        </w:rPr>
        <w:t xml:space="preserve">a importación de alimentos </w:t>
      </w:r>
      <w:r w:rsidR="00684638">
        <w:rPr>
          <w:rFonts w:ascii="Century Gothic" w:hAnsi="Century Gothic" w:cs="MyriadPro-Regular"/>
          <w:i/>
          <w:szCs w:val="24"/>
        </w:rPr>
        <w:t>provenientes de</w:t>
      </w:r>
      <w:r w:rsidR="00267E85" w:rsidRPr="00423446">
        <w:rPr>
          <w:rFonts w:ascii="Century Gothic" w:hAnsi="Century Gothic" w:cs="MyriadPro-Regular"/>
          <w:i/>
          <w:szCs w:val="24"/>
        </w:rPr>
        <w:t xml:space="preserve"> países limítrofes </w:t>
      </w:r>
      <w:r w:rsidR="00423446" w:rsidRPr="00423446">
        <w:rPr>
          <w:rFonts w:ascii="Century Gothic" w:hAnsi="Century Gothic" w:cs="MyriadPro-Regular"/>
          <w:i/>
          <w:szCs w:val="24"/>
        </w:rPr>
        <w:t>creció en 12,9%.</w:t>
      </w:r>
    </w:p>
    <w:p w14:paraId="3AEE33EA" w14:textId="77777777" w:rsidR="00CA36D4" w:rsidRPr="00B5198C" w:rsidRDefault="00267E85" w:rsidP="008740C0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>El valor de la importación de cereales</w:t>
      </w:r>
      <w:r w:rsidR="00684638">
        <w:rPr>
          <w:rFonts w:ascii="Century Gothic" w:hAnsi="Century Gothic" w:cs="MyriadPro-Regular"/>
          <w:i/>
          <w:szCs w:val="24"/>
        </w:rPr>
        <w:t>,</w:t>
      </w:r>
      <w:r>
        <w:rPr>
          <w:rFonts w:ascii="Century Gothic" w:hAnsi="Century Gothic" w:cs="MyriadPro-Regular"/>
          <w:i/>
          <w:szCs w:val="24"/>
        </w:rPr>
        <w:t xml:space="preserve"> como </w:t>
      </w:r>
      <w:r w:rsidRPr="00267E85">
        <w:rPr>
          <w:rFonts w:ascii="Century Gothic" w:hAnsi="Century Gothic" w:cs="MyriadPro-Regular"/>
          <w:i/>
          <w:szCs w:val="24"/>
        </w:rPr>
        <w:t>trigo y arroz</w:t>
      </w:r>
      <w:r w:rsidR="00684638">
        <w:rPr>
          <w:rFonts w:ascii="Century Gothic" w:hAnsi="Century Gothic" w:cs="MyriadPro-Regular"/>
          <w:i/>
          <w:szCs w:val="24"/>
        </w:rPr>
        <w:t>,</w:t>
      </w:r>
      <w:r w:rsidRPr="00267E85">
        <w:rPr>
          <w:rFonts w:ascii="Century Gothic" w:hAnsi="Century Gothic" w:cs="MyriadPro-Regular"/>
          <w:i/>
          <w:szCs w:val="24"/>
        </w:rPr>
        <w:t xml:space="preserve"> </w:t>
      </w:r>
      <w:r>
        <w:rPr>
          <w:rFonts w:ascii="Century Gothic" w:hAnsi="Century Gothic" w:cs="MyriadPro-Regular"/>
          <w:i/>
          <w:szCs w:val="24"/>
        </w:rPr>
        <w:t xml:space="preserve">creció en </w:t>
      </w:r>
      <w:r w:rsidRPr="00267E85">
        <w:rPr>
          <w:rFonts w:ascii="Century Gothic" w:hAnsi="Century Gothic" w:cs="MyriadPro-Regular"/>
          <w:i/>
          <w:szCs w:val="24"/>
        </w:rPr>
        <w:t>643%</w:t>
      </w:r>
      <w:r w:rsidR="00684638">
        <w:rPr>
          <w:rFonts w:ascii="Century Gothic" w:hAnsi="Century Gothic" w:cs="MyriadPro-Regular"/>
          <w:i/>
          <w:szCs w:val="24"/>
        </w:rPr>
        <w:t xml:space="preserve"> en e</w:t>
      </w:r>
      <w:r w:rsidR="00B5198C">
        <w:rPr>
          <w:rFonts w:ascii="Century Gothic" w:hAnsi="Century Gothic" w:cs="MyriadPro-Regular"/>
          <w:i/>
          <w:szCs w:val="24"/>
        </w:rPr>
        <w:t>l</w:t>
      </w:r>
      <w:r w:rsidR="00684638">
        <w:rPr>
          <w:rFonts w:ascii="Century Gothic" w:hAnsi="Century Gothic" w:cs="MyriadPro-Regular"/>
          <w:i/>
          <w:szCs w:val="24"/>
        </w:rPr>
        <w:t xml:space="preserve"> primer bimestre</w:t>
      </w:r>
      <w:r w:rsidRPr="00267E85">
        <w:rPr>
          <w:rFonts w:ascii="Century Gothic" w:hAnsi="Century Gothic" w:cs="MyriadPro-Regular"/>
          <w:i/>
          <w:szCs w:val="24"/>
        </w:rPr>
        <w:t>.</w:t>
      </w:r>
    </w:p>
    <w:p w14:paraId="5F4A66AE" w14:textId="77777777" w:rsidR="00B5198C" w:rsidRDefault="00B5198C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</w:p>
    <w:p w14:paraId="445216C6" w14:textId="16CBA8F4" w:rsidR="00661AEB" w:rsidRDefault="00CA36D4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>El valor de la</w:t>
      </w:r>
      <w:r w:rsidR="00661AEB">
        <w:rPr>
          <w:rFonts w:ascii="Century Gothic" w:hAnsi="Century Gothic" w:cs="MyriadPro-Regular"/>
          <w:i/>
          <w:szCs w:val="24"/>
        </w:rPr>
        <w:t xml:space="preserve"> importación </w:t>
      </w:r>
      <w:r w:rsidR="00E4381B">
        <w:rPr>
          <w:rFonts w:ascii="Century Gothic" w:hAnsi="Century Gothic" w:cs="MyriadPro-Regular"/>
          <w:i/>
          <w:szCs w:val="24"/>
        </w:rPr>
        <w:t xml:space="preserve">total de </w:t>
      </w:r>
      <w:r w:rsidR="00661AEB">
        <w:rPr>
          <w:rFonts w:ascii="Century Gothic" w:hAnsi="Century Gothic" w:cs="MyriadPro-Regular"/>
          <w:i/>
          <w:szCs w:val="24"/>
        </w:rPr>
        <w:t>alimentos</w:t>
      </w:r>
      <w:r w:rsidR="00E4381B">
        <w:rPr>
          <w:rFonts w:ascii="Century Gothic" w:hAnsi="Century Gothic" w:cs="MyriadPro-Regular"/>
          <w:i/>
          <w:szCs w:val="24"/>
        </w:rPr>
        <w:t xml:space="preserve"> y bebidas,</w:t>
      </w:r>
      <w:r w:rsidR="00661AEB">
        <w:rPr>
          <w:rFonts w:ascii="Century Gothic" w:hAnsi="Century Gothic" w:cs="MyriadPro-Regular"/>
          <w:i/>
          <w:szCs w:val="24"/>
        </w:rPr>
        <w:t xml:space="preserve"> durante </w:t>
      </w:r>
      <w:r w:rsidR="00311805">
        <w:rPr>
          <w:rFonts w:ascii="Century Gothic" w:hAnsi="Century Gothic" w:cs="MyriadPro-Regular"/>
          <w:i/>
          <w:szCs w:val="24"/>
        </w:rPr>
        <w:t xml:space="preserve">el primer bimestre de </w:t>
      </w:r>
      <w:r w:rsidR="00661AEB">
        <w:rPr>
          <w:rFonts w:ascii="Century Gothic" w:hAnsi="Century Gothic" w:cs="MyriadPro-Regular"/>
          <w:i/>
          <w:szCs w:val="24"/>
        </w:rPr>
        <w:t>201</w:t>
      </w:r>
      <w:r w:rsidR="00311805">
        <w:rPr>
          <w:rFonts w:ascii="Century Gothic" w:hAnsi="Century Gothic" w:cs="MyriadPro-Regular"/>
          <w:i/>
          <w:szCs w:val="24"/>
        </w:rPr>
        <w:t>7</w:t>
      </w:r>
      <w:r w:rsidR="00F45EE3">
        <w:rPr>
          <w:rStyle w:val="Refdenotaalpie"/>
          <w:rFonts w:ascii="Century Gothic" w:hAnsi="Century Gothic" w:cs="MyriadPro-Regular"/>
          <w:i/>
          <w:szCs w:val="24"/>
        </w:rPr>
        <w:footnoteReference w:id="1"/>
      </w:r>
      <w:r w:rsidR="00AC543A">
        <w:rPr>
          <w:rFonts w:ascii="Century Gothic" w:hAnsi="Century Gothic" w:cs="MyriadPro-Regular"/>
          <w:i/>
          <w:szCs w:val="24"/>
        </w:rPr>
        <w:t>,</w:t>
      </w:r>
      <w:r w:rsidR="00661AEB">
        <w:rPr>
          <w:rFonts w:ascii="Century Gothic" w:hAnsi="Century Gothic" w:cs="MyriadPro-Regular"/>
          <w:i/>
          <w:szCs w:val="24"/>
        </w:rPr>
        <w:t xml:space="preserve"> </w:t>
      </w:r>
      <w:r w:rsidR="00E4381B">
        <w:rPr>
          <w:rFonts w:ascii="Century Gothic" w:hAnsi="Century Gothic" w:cs="MyriadPro-Regular"/>
          <w:i/>
          <w:szCs w:val="24"/>
        </w:rPr>
        <w:t>alcanz</w:t>
      </w:r>
      <w:r w:rsidR="00054AD2">
        <w:rPr>
          <w:rFonts w:ascii="Century Gothic" w:hAnsi="Century Gothic" w:cs="MyriadPro-Regular"/>
          <w:i/>
          <w:szCs w:val="24"/>
        </w:rPr>
        <w:t>ó</w:t>
      </w:r>
      <w:r w:rsidR="00E4381B">
        <w:rPr>
          <w:rFonts w:ascii="Century Gothic" w:hAnsi="Century Gothic" w:cs="MyriadPro-Regular"/>
          <w:i/>
          <w:szCs w:val="24"/>
        </w:rPr>
        <w:t xml:space="preserve"> a </w:t>
      </w:r>
      <w:r w:rsidR="00311805" w:rsidRPr="00311805">
        <w:rPr>
          <w:rFonts w:ascii="Century Gothic" w:hAnsi="Century Gothic" w:cs="MyriadPro-Regular"/>
          <w:i/>
          <w:szCs w:val="24"/>
        </w:rPr>
        <w:t>10</w:t>
      </w:r>
      <w:r w:rsidR="00311805">
        <w:rPr>
          <w:rFonts w:ascii="Century Gothic" w:hAnsi="Century Gothic" w:cs="MyriadPro-Regular"/>
          <w:i/>
          <w:szCs w:val="24"/>
        </w:rPr>
        <w:t>8</w:t>
      </w:r>
      <w:r w:rsidR="00E4381B">
        <w:rPr>
          <w:rFonts w:ascii="Century Gothic" w:hAnsi="Century Gothic" w:cs="MyriadPro-Regular"/>
          <w:i/>
          <w:szCs w:val="24"/>
        </w:rPr>
        <w:t xml:space="preserve"> millones de dólares, superior en </w:t>
      </w:r>
      <w:r w:rsidR="00311805" w:rsidRPr="00311805">
        <w:rPr>
          <w:rFonts w:ascii="Century Gothic" w:hAnsi="Century Gothic" w:cs="MyriadPro-Regular"/>
          <w:i/>
          <w:szCs w:val="24"/>
        </w:rPr>
        <w:t>28,</w:t>
      </w:r>
      <w:r w:rsidR="00311805">
        <w:rPr>
          <w:rFonts w:ascii="Century Gothic" w:hAnsi="Century Gothic" w:cs="MyriadPro-Regular"/>
          <w:i/>
          <w:szCs w:val="24"/>
        </w:rPr>
        <w:t>9</w:t>
      </w:r>
      <w:r w:rsidR="00E4381B">
        <w:rPr>
          <w:rFonts w:ascii="Century Gothic" w:hAnsi="Century Gothic" w:cs="MyriadPro-Regular"/>
          <w:i/>
          <w:szCs w:val="24"/>
        </w:rPr>
        <w:t>% al valor importado en</w:t>
      </w:r>
      <w:r w:rsidR="00311805">
        <w:rPr>
          <w:rFonts w:ascii="Century Gothic" w:hAnsi="Century Gothic" w:cs="MyriadPro-Regular"/>
          <w:i/>
          <w:szCs w:val="24"/>
        </w:rPr>
        <w:t xml:space="preserve"> el mismo periodo de</w:t>
      </w:r>
      <w:r w:rsidR="00E4381B">
        <w:rPr>
          <w:rFonts w:ascii="Century Gothic" w:hAnsi="Century Gothic" w:cs="MyriadPro-Regular"/>
          <w:i/>
          <w:szCs w:val="24"/>
        </w:rPr>
        <w:t xml:space="preserve"> la gestión 201</w:t>
      </w:r>
      <w:r w:rsidR="00311805">
        <w:rPr>
          <w:rFonts w:ascii="Century Gothic" w:hAnsi="Century Gothic" w:cs="MyriadPro-Regular"/>
          <w:i/>
          <w:szCs w:val="24"/>
        </w:rPr>
        <w:t>6</w:t>
      </w:r>
      <w:r w:rsidR="00E4381B">
        <w:rPr>
          <w:rFonts w:ascii="Century Gothic" w:hAnsi="Century Gothic" w:cs="MyriadPro-Regular"/>
          <w:i/>
          <w:szCs w:val="24"/>
        </w:rPr>
        <w:t>.</w:t>
      </w:r>
    </w:p>
    <w:p w14:paraId="1C40838C" w14:textId="77777777" w:rsidR="00311805" w:rsidRDefault="00311805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 xml:space="preserve">En enero </w:t>
      </w:r>
      <w:r w:rsidR="00AC543A">
        <w:rPr>
          <w:rFonts w:ascii="Century Gothic" w:hAnsi="Century Gothic" w:cs="MyriadPro-Regular"/>
          <w:i/>
          <w:szCs w:val="24"/>
        </w:rPr>
        <w:t>y febrero de la presente gestión,</w:t>
      </w:r>
      <w:r>
        <w:rPr>
          <w:rFonts w:ascii="Century Gothic" w:hAnsi="Century Gothic" w:cs="MyriadPro-Regular"/>
          <w:i/>
          <w:szCs w:val="24"/>
        </w:rPr>
        <w:t xml:space="preserve"> </w:t>
      </w:r>
      <w:r w:rsidRPr="00311805">
        <w:rPr>
          <w:rFonts w:ascii="Century Gothic" w:hAnsi="Century Gothic" w:cs="MyriadPro-Regular"/>
          <w:i/>
          <w:szCs w:val="24"/>
        </w:rPr>
        <w:t xml:space="preserve">el valor por la importación de alimentos </w:t>
      </w:r>
      <w:r>
        <w:rPr>
          <w:rFonts w:ascii="Century Gothic" w:hAnsi="Century Gothic" w:cs="MyriadPro-Regular"/>
          <w:i/>
          <w:szCs w:val="24"/>
        </w:rPr>
        <w:t>super</w:t>
      </w:r>
      <w:r w:rsidR="00054AD2">
        <w:rPr>
          <w:rFonts w:ascii="Century Gothic" w:hAnsi="Century Gothic" w:cs="MyriadPro-Regular"/>
          <w:i/>
          <w:szCs w:val="24"/>
        </w:rPr>
        <w:t>ó</w:t>
      </w:r>
      <w:r>
        <w:rPr>
          <w:rFonts w:ascii="Century Gothic" w:hAnsi="Century Gothic" w:cs="MyriadPro-Regular"/>
          <w:i/>
          <w:szCs w:val="24"/>
        </w:rPr>
        <w:t xml:space="preserve"> los </w:t>
      </w:r>
      <w:r w:rsidRPr="00311805">
        <w:rPr>
          <w:rFonts w:ascii="Century Gothic" w:hAnsi="Century Gothic" w:cs="MyriadPro-Regular"/>
          <w:i/>
          <w:szCs w:val="24"/>
        </w:rPr>
        <w:t>50 millones de dólares</w:t>
      </w:r>
      <w:r w:rsidR="00054AD2">
        <w:rPr>
          <w:rFonts w:ascii="Century Gothic" w:hAnsi="Century Gothic" w:cs="MyriadPro-Regular"/>
          <w:i/>
          <w:szCs w:val="24"/>
        </w:rPr>
        <w:t xml:space="preserve"> por mes</w:t>
      </w:r>
      <w:r>
        <w:rPr>
          <w:rFonts w:ascii="Century Gothic" w:hAnsi="Century Gothic" w:cs="MyriadPro-Regular"/>
          <w:i/>
          <w:szCs w:val="24"/>
        </w:rPr>
        <w:t>.</w:t>
      </w:r>
    </w:p>
    <w:p w14:paraId="72034EA0" w14:textId="77777777" w:rsidR="00F52908" w:rsidRPr="00F52908" w:rsidRDefault="00CA36D4" w:rsidP="00F52908">
      <w:pPr>
        <w:pStyle w:val="Sinespaciado1"/>
        <w:spacing w:before="120" w:after="120"/>
        <w:jc w:val="center"/>
        <w:rPr>
          <w:rFonts w:ascii="Century Gothic" w:hAnsi="Century Gothic" w:cs="MyriadPro-Regular"/>
          <w:i/>
          <w:szCs w:val="24"/>
        </w:rPr>
      </w:pPr>
      <w:r w:rsidRPr="00CA36D4">
        <w:rPr>
          <w:noProof/>
          <w:lang w:val="es-ES_tradnl" w:eastAsia="es-ES_tradnl"/>
        </w:rPr>
        <w:drawing>
          <wp:inline distT="0" distB="0" distL="0" distR="0" wp14:anchorId="23279147" wp14:editId="3FFD138E">
            <wp:extent cx="5735653" cy="2409525"/>
            <wp:effectExtent l="0" t="0" r="5080" b="381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60" cy="242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C35E2" w14:textId="77777777" w:rsidR="00570888" w:rsidRPr="00570888" w:rsidRDefault="00311805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>Considerando el destino de la importación de alimentos, e</w:t>
      </w:r>
      <w:r w:rsidR="00570888" w:rsidRPr="00570888">
        <w:rPr>
          <w:rFonts w:ascii="Century Gothic" w:hAnsi="Century Gothic" w:cs="MyriadPro-Regular"/>
          <w:i/>
          <w:szCs w:val="24"/>
        </w:rPr>
        <w:t>n e</w:t>
      </w:r>
      <w:r w:rsidR="00B5198C">
        <w:rPr>
          <w:rFonts w:ascii="Century Gothic" w:hAnsi="Century Gothic" w:cs="MyriadPro-Regular"/>
          <w:i/>
          <w:szCs w:val="24"/>
        </w:rPr>
        <w:t>l</w:t>
      </w:r>
      <w:r w:rsidR="00570888" w:rsidRPr="00570888">
        <w:rPr>
          <w:rFonts w:ascii="Century Gothic" w:hAnsi="Century Gothic" w:cs="MyriadPro-Regular"/>
          <w:i/>
          <w:szCs w:val="24"/>
        </w:rPr>
        <w:t xml:space="preserve"> </w:t>
      </w:r>
      <w:r>
        <w:rPr>
          <w:rFonts w:ascii="Century Gothic" w:hAnsi="Century Gothic" w:cs="MyriadPro-Regular"/>
          <w:i/>
          <w:szCs w:val="24"/>
        </w:rPr>
        <w:t>primer bimestre</w:t>
      </w:r>
      <w:r w:rsidR="00B5198C">
        <w:rPr>
          <w:rFonts w:ascii="Century Gothic" w:hAnsi="Century Gothic" w:cs="MyriadPro-Regular"/>
          <w:i/>
          <w:szCs w:val="24"/>
        </w:rPr>
        <w:t>,</w:t>
      </w:r>
      <w:r>
        <w:rPr>
          <w:rFonts w:ascii="Century Gothic" w:hAnsi="Century Gothic" w:cs="MyriadPro-Regular"/>
          <w:i/>
          <w:szCs w:val="24"/>
        </w:rPr>
        <w:t xml:space="preserve"> </w:t>
      </w:r>
      <w:r w:rsidR="00570888" w:rsidRPr="00570888">
        <w:rPr>
          <w:rFonts w:ascii="Century Gothic" w:hAnsi="Century Gothic" w:cs="MyriadPro-Regular"/>
          <w:i/>
          <w:szCs w:val="24"/>
        </w:rPr>
        <w:t>los productos que registraron mayor v</w:t>
      </w:r>
      <w:r w:rsidR="00570888">
        <w:rPr>
          <w:rFonts w:ascii="Century Gothic" w:hAnsi="Century Gothic" w:cs="MyriadPro-Regular"/>
          <w:i/>
          <w:szCs w:val="24"/>
        </w:rPr>
        <w:t>alor</w:t>
      </w:r>
      <w:r w:rsidR="00570888" w:rsidRPr="00570888">
        <w:rPr>
          <w:rFonts w:ascii="Century Gothic" w:hAnsi="Century Gothic" w:cs="MyriadPro-Regular"/>
          <w:i/>
          <w:szCs w:val="24"/>
        </w:rPr>
        <w:t xml:space="preserve"> de </w:t>
      </w:r>
      <w:r w:rsidR="00570888">
        <w:rPr>
          <w:rFonts w:ascii="Century Gothic" w:hAnsi="Century Gothic" w:cs="MyriadPro-Regular"/>
          <w:i/>
          <w:szCs w:val="24"/>
        </w:rPr>
        <w:t xml:space="preserve">importación </w:t>
      </w:r>
      <w:r w:rsidR="00570888" w:rsidRPr="00570888">
        <w:rPr>
          <w:rFonts w:ascii="Century Gothic" w:hAnsi="Century Gothic" w:cs="MyriadPro-Regular"/>
          <w:i/>
          <w:szCs w:val="24"/>
        </w:rPr>
        <w:t xml:space="preserve">fueron </w:t>
      </w:r>
      <w:r w:rsidR="00570888">
        <w:rPr>
          <w:rFonts w:ascii="Century Gothic" w:hAnsi="Century Gothic" w:cs="MyriadPro-Regular"/>
          <w:i/>
          <w:szCs w:val="24"/>
        </w:rPr>
        <w:t xml:space="preserve">los alimentos elaborados destinados </w:t>
      </w:r>
      <w:r w:rsidR="009A3EF2">
        <w:rPr>
          <w:rFonts w:ascii="Century Gothic" w:hAnsi="Century Gothic" w:cs="MyriadPro-Regular"/>
          <w:i/>
          <w:szCs w:val="24"/>
        </w:rPr>
        <w:t xml:space="preserve">principalmente </w:t>
      </w:r>
      <w:r w:rsidR="00570888">
        <w:rPr>
          <w:rFonts w:ascii="Century Gothic" w:hAnsi="Century Gothic" w:cs="MyriadPro-Regular"/>
          <w:i/>
          <w:szCs w:val="24"/>
        </w:rPr>
        <w:t>al consumo de los hogares</w:t>
      </w:r>
      <w:r w:rsidR="00570888" w:rsidRPr="00570888">
        <w:rPr>
          <w:rFonts w:ascii="Century Gothic" w:hAnsi="Century Gothic" w:cs="MyriadPro-Regular"/>
          <w:i/>
          <w:szCs w:val="24"/>
        </w:rPr>
        <w:t>, que registraron una concentración de</w:t>
      </w:r>
      <w:r w:rsidR="009A3EF2">
        <w:rPr>
          <w:rFonts w:ascii="Century Gothic" w:hAnsi="Century Gothic" w:cs="MyriadPro-Regular"/>
          <w:i/>
          <w:szCs w:val="24"/>
        </w:rPr>
        <w:t xml:space="preserve"> más de </w:t>
      </w:r>
      <w:r>
        <w:rPr>
          <w:rFonts w:ascii="Century Gothic" w:hAnsi="Century Gothic" w:cs="MyriadPro-Regular"/>
          <w:i/>
          <w:szCs w:val="24"/>
        </w:rPr>
        <w:t>62</w:t>
      </w:r>
      <w:r w:rsidR="009A3EF2">
        <w:rPr>
          <w:rFonts w:ascii="Century Gothic" w:hAnsi="Century Gothic" w:cs="MyriadPro-Regular"/>
          <w:i/>
          <w:szCs w:val="24"/>
        </w:rPr>
        <w:t xml:space="preserve"> millones de dólares</w:t>
      </w:r>
      <w:r w:rsidR="00B5198C">
        <w:rPr>
          <w:rFonts w:ascii="Century Gothic" w:hAnsi="Century Gothic" w:cs="MyriadPro-Regular"/>
          <w:i/>
          <w:szCs w:val="24"/>
        </w:rPr>
        <w:t>, monto</w:t>
      </w:r>
      <w:r w:rsidR="009A3EF2">
        <w:rPr>
          <w:rFonts w:ascii="Century Gothic" w:hAnsi="Century Gothic" w:cs="MyriadPro-Regular"/>
          <w:i/>
          <w:szCs w:val="24"/>
        </w:rPr>
        <w:t xml:space="preserve"> </w:t>
      </w:r>
      <w:r w:rsidR="00AC543A">
        <w:rPr>
          <w:rFonts w:ascii="Century Gothic" w:hAnsi="Century Gothic" w:cs="MyriadPro-Regular"/>
          <w:i/>
          <w:szCs w:val="24"/>
        </w:rPr>
        <w:t>que</w:t>
      </w:r>
      <w:r w:rsidR="00B5198C">
        <w:rPr>
          <w:rFonts w:ascii="Century Gothic" w:hAnsi="Century Gothic" w:cs="MyriadPro-Regular"/>
          <w:i/>
          <w:szCs w:val="24"/>
        </w:rPr>
        <w:t xml:space="preserve"> representa</w:t>
      </w:r>
      <w:r w:rsidR="009A3EF2">
        <w:rPr>
          <w:rFonts w:ascii="Century Gothic" w:hAnsi="Century Gothic" w:cs="MyriadPro-Regular"/>
          <w:i/>
          <w:szCs w:val="24"/>
        </w:rPr>
        <w:t xml:space="preserve"> </w:t>
      </w:r>
      <w:r>
        <w:rPr>
          <w:rFonts w:ascii="Century Gothic" w:hAnsi="Century Gothic" w:cs="MyriadPro-Regular"/>
          <w:i/>
          <w:szCs w:val="24"/>
        </w:rPr>
        <w:t>58</w:t>
      </w:r>
      <w:r w:rsidR="00570888" w:rsidRPr="00570888">
        <w:rPr>
          <w:rFonts w:ascii="Century Gothic" w:hAnsi="Century Gothic" w:cs="MyriadPro-Regular"/>
          <w:i/>
          <w:szCs w:val="24"/>
        </w:rPr>
        <w:t>%, del total de alimentos importados</w:t>
      </w:r>
      <w:r w:rsidR="009A3EF2">
        <w:rPr>
          <w:rFonts w:ascii="Century Gothic" w:hAnsi="Century Gothic" w:cs="MyriadPro-Regular"/>
          <w:i/>
          <w:szCs w:val="24"/>
        </w:rPr>
        <w:t xml:space="preserve"> en </w:t>
      </w:r>
      <w:r w:rsidR="00B5198C">
        <w:rPr>
          <w:rFonts w:ascii="Century Gothic" w:hAnsi="Century Gothic" w:cs="MyriadPro-Regular"/>
          <w:i/>
          <w:szCs w:val="24"/>
        </w:rPr>
        <w:t>este periodo</w:t>
      </w:r>
      <w:r w:rsidR="00570888" w:rsidRPr="00570888">
        <w:rPr>
          <w:rFonts w:ascii="Century Gothic" w:hAnsi="Century Gothic" w:cs="MyriadPro-Regular"/>
          <w:i/>
          <w:szCs w:val="24"/>
        </w:rPr>
        <w:t>.</w:t>
      </w:r>
    </w:p>
    <w:p w14:paraId="17DBC5FE" w14:textId="77777777" w:rsidR="00300DD0" w:rsidRDefault="00570888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570888">
        <w:rPr>
          <w:rFonts w:ascii="Century Gothic" w:hAnsi="Century Gothic" w:cs="MyriadPro-Regular"/>
          <w:i/>
          <w:szCs w:val="24"/>
        </w:rPr>
        <w:t xml:space="preserve">En </w:t>
      </w:r>
      <w:r w:rsidR="009A3EF2">
        <w:rPr>
          <w:rFonts w:ascii="Century Gothic" w:hAnsi="Century Gothic" w:cs="MyriadPro-Regular"/>
          <w:i/>
          <w:szCs w:val="24"/>
        </w:rPr>
        <w:t>201</w:t>
      </w:r>
      <w:r w:rsidR="00311805">
        <w:rPr>
          <w:rFonts w:ascii="Century Gothic" w:hAnsi="Century Gothic" w:cs="MyriadPro-Regular"/>
          <w:i/>
          <w:szCs w:val="24"/>
        </w:rPr>
        <w:t>7</w:t>
      </w:r>
      <w:r w:rsidR="00E95C4A">
        <w:rPr>
          <w:rFonts w:ascii="Century Gothic" w:hAnsi="Century Gothic" w:cs="MyriadPro-Regular"/>
          <w:i/>
          <w:szCs w:val="24"/>
        </w:rPr>
        <w:t xml:space="preserve"> </w:t>
      </w:r>
      <w:r w:rsidR="00B74255">
        <w:rPr>
          <w:rFonts w:ascii="Century Gothic" w:hAnsi="Century Gothic" w:cs="MyriadPro-Regular"/>
          <w:i/>
          <w:szCs w:val="24"/>
        </w:rPr>
        <w:t>–</w:t>
      </w:r>
      <w:r w:rsidR="00E95C4A">
        <w:rPr>
          <w:rFonts w:ascii="Century Gothic" w:hAnsi="Century Gothic" w:cs="MyriadPro-Regular"/>
          <w:i/>
          <w:szCs w:val="24"/>
        </w:rPr>
        <w:t>y respecto del año 20</w:t>
      </w:r>
      <w:r w:rsidR="00CA328D">
        <w:rPr>
          <w:rFonts w:ascii="Century Gothic" w:hAnsi="Century Gothic" w:cs="MyriadPro-Regular"/>
          <w:i/>
          <w:szCs w:val="24"/>
        </w:rPr>
        <w:t>1</w:t>
      </w:r>
      <w:r w:rsidR="00311805">
        <w:rPr>
          <w:rFonts w:ascii="Century Gothic" w:hAnsi="Century Gothic" w:cs="MyriadPro-Regular"/>
          <w:i/>
          <w:szCs w:val="24"/>
        </w:rPr>
        <w:t>6</w:t>
      </w:r>
      <w:r w:rsidR="00B74255">
        <w:rPr>
          <w:rFonts w:ascii="Century Gothic" w:hAnsi="Century Gothic" w:cs="MyriadPro-Regular"/>
          <w:i/>
          <w:szCs w:val="24"/>
        </w:rPr>
        <w:t>–</w:t>
      </w:r>
      <w:r w:rsidR="009A3EF2">
        <w:rPr>
          <w:rFonts w:ascii="Century Gothic" w:hAnsi="Century Gothic" w:cs="MyriadPro-Regular"/>
          <w:i/>
          <w:szCs w:val="24"/>
        </w:rPr>
        <w:t xml:space="preserve"> </w:t>
      </w:r>
      <w:r w:rsidR="00311805">
        <w:rPr>
          <w:rFonts w:ascii="Century Gothic" w:hAnsi="Century Gothic" w:cs="MyriadPro-Regular"/>
          <w:i/>
          <w:szCs w:val="24"/>
        </w:rPr>
        <w:t xml:space="preserve">durante estos dos primeros meses </w:t>
      </w:r>
      <w:r w:rsidRPr="00570888">
        <w:rPr>
          <w:rFonts w:ascii="Century Gothic" w:hAnsi="Century Gothic" w:cs="MyriadPro-Regular"/>
          <w:i/>
          <w:szCs w:val="24"/>
        </w:rPr>
        <w:t xml:space="preserve">se registró un crecimiento de </w:t>
      </w:r>
      <w:r w:rsidR="00CA328D">
        <w:rPr>
          <w:rFonts w:ascii="Century Gothic" w:hAnsi="Century Gothic" w:cs="MyriadPro-Regular"/>
          <w:i/>
          <w:szCs w:val="24"/>
        </w:rPr>
        <w:t>1</w:t>
      </w:r>
      <w:r w:rsidR="00F44284">
        <w:rPr>
          <w:rFonts w:ascii="Century Gothic" w:hAnsi="Century Gothic" w:cs="MyriadPro-Regular"/>
          <w:i/>
          <w:szCs w:val="24"/>
        </w:rPr>
        <w:t>4</w:t>
      </w:r>
      <w:r w:rsidRPr="00570888">
        <w:rPr>
          <w:rFonts w:ascii="Century Gothic" w:hAnsi="Century Gothic" w:cs="MyriadPro-Regular"/>
          <w:i/>
          <w:szCs w:val="24"/>
        </w:rPr>
        <w:t xml:space="preserve">% en </w:t>
      </w:r>
      <w:r w:rsidR="00CA328D">
        <w:rPr>
          <w:rFonts w:ascii="Century Gothic" w:hAnsi="Century Gothic" w:cs="MyriadPro-Regular"/>
          <w:i/>
          <w:szCs w:val="24"/>
        </w:rPr>
        <w:t xml:space="preserve">las </w:t>
      </w:r>
      <w:r w:rsidRPr="00570888">
        <w:rPr>
          <w:rFonts w:ascii="Century Gothic" w:hAnsi="Century Gothic" w:cs="MyriadPro-Regular"/>
          <w:i/>
          <w:szCs w:val="24"/>
        </w:rPr>
        <w:t xml:space="preserve">importaciones de </w:t>
      </w:r>
      <w:r w:rsidR="009A3EF2">
        <w:rPr>
          <w:rFonts w:ascii="Century Gothic" w:hAnsi="Century Gothic" w:cs="MyriadPro-Regular"/>
          <w:i/>
          <w:szCs w:val="24"/>
        </w:rPr>
        <w:t>alimento</w:t>
      </w:r>
      <w:r w:rsidR="00B74255">
        <w:rPr>
          <w:rFonts w:ascii="Century Gothic" w:hAnsi="Century Gothic" w:cs="MyriadPro-Regular"/>
          <w:i/>
          <w:szCs w:val="24"/>
        </w:rPr>
        <w:t>s</w:t>
      </w:r>
      <w:r w:rsidR="009A3EF2">
        <w:rPr>
          <w:rFonts w:ascii="Century Gothic" w:hAnsi="Century Gothic" w:cs="MyriadPro-Regular"/>
          <w:i/>
          <w:szCs w:val="24"/>
        </w:rPr>
        <w:t xml:space="preserve"> básicos destinados al consumo de los hogares</w:t>
      </w:r>
      <w:r w:rsidRPr="00570888">
        <w:rPr>
          <w:rFonts w:ascii="Century Gothic" w:hAnsi="Century Gothic" w:cs="MyriadPro-Regular"/>
          <w:i/>
          <w:szCs w:val="24"/>
        </w:rPr>
        <w:t>.</w:t>
      </w:r>
    </w:p>
    <w:p w14:paraId="65475F2A" w14:textId="77777777" w:rsidR="009A3EF2" w:rsidRPr="00F52908" w:rsidRDefault="009A3EF2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lastRenderedPageBreak/>
        <w:t>Los alimentos y bebidas elaborados destinad</w:t>
      </w:r>
      <w:r w:rsidR="00B74255">
        <w:rPr>
          <w:rFonts w:ascii="Century Gothic" w:hAnsi="Century Gothic" w:cs="MyriadPro-Regular"/>
          <w:i/>
          <w:szCs w:val="24"/>
        </w:rPr>
        <w:t>os a la industria representan</w:t>
      </w:r>
      <w:r>
        <w:rPr>
          <w:rFonts w:ascii="Century Gothic" w:hAnsi="Century Gothic" w:cs="MyriadPro-Regular"/>
          <w:i/>
          <w:szCs w:val="24"/>
        </w:rPr>
        <w:t xml:space="preserve"> </w:t>
      </w:r>
      <w:r w:rsidR="00C967F7">
        <w:rPr>
          <w:rFonts w:ascii="Century Gothic" w:hAnsi="Century Gothic" w:cs="MyriadPro-Regular"/>
          <w:i/>
          <w:szCs w:val="24"/>
        </w:rPr>
        <w:t>37</w:t>
      </w:r>
      <w:r>
        <w:rPr>
          <w:rFonts w:ascii="Century Gothic" w:hAnsi="Century Gothic" w:cs="MyriadPro-Regular"/>
          <w:i/>
          <w:szCs w:val="24"/>
        </w:rPr>
        <w:t>% del total de importaciones en alimentos</w:t>
      </w:r>
      <w:r w:rsidR="00B74255">
        <w:rPr>
          <w:rFonts w:ascii="Century Gothic" w:hAnsi="Century Gothic" w:cs="MyriadPro-Regular"/>
          <w:i/>
          <w:szCs w:val="24"/>
        </w:rPr>
        <w:t>,</w:t>
      </w:r>
      <w:r>
        <w:rPr>
          <w:rFonts w:ascii="Century Gothic" w:hAnsi="Century Gothic" w:cs="MyriadPro-Regular"/>
          <w:i/>
          <w:szCs w:val="24"/>
        </w:rPr>
        <w:t xml:space="preserve"> y para el </w:t>
      </w:r>
      <w:r w:rsidR="00C967F7">
        <w:rPr>
          <w:rFonts w:ascii="Century Gothic" w:hAnsi="Century Gothic" w:cs="MyriadPro-Regular"/>
          <w:i/>
          <w:szCs w:val="24"/>
        </w:rPr>
        <w:t xml:space="preserve">primer bimestre de </w:t>
      </w:r>
      <w:r>
        <w:rPr>
          <w:rFonts w:ascii="Century Gothic" w:hAnsi="Century Gothic" w:cs="MyriadPro-Regular"/>
          <w:i/>
          <w:szCs w:val="24"/>
        </w:rPr>
        <w:t>201</w:t>
      </w:r>
      <w:r w:rsidR="00C967F7">
        <w:rPr>
          <w:rFonts w:ascii="Century Gothic" w:hAnsi="Century Gothic" w:cs="MyriadPro-Regular"/>
          <w:i/>
          <w:szCs w:val="24"/>
        </w:rPr>
        <w:t>7</w:t>
      </w:r>
      <w:r>
        <w:rPr>
          <w:rFonts w:ascii="Century Gothic" w:hAnsi="Century Gothic" w:cs="MyriadPro-Regular"/>
          <w:i/>
          <w:szCs w:val="24"/>
        </w:rPr>
        <w:t xml:space="preserve"> superaron los </w:t>
      </w:r>
      <w:r w:rsidR="00C967F7">
        <w:rPr>
          <w:rFonts w:ascii="Century Gothic" w:hAnsi="Century Gothic" w:cs="MyriadPro-Regular"/>
          <w:i/>
          <w:szCs w:val="24"/>
        </w:rPr>
        <w:t>39</w:t>
      </w:r>
      <w:r>
        <w:rPr>
          <w:rFonts w:ascii="Century Gothic" w:hAnsi="Century Gothic" w:cs="MyriadPro-Regular"/>
          <w:i/>
          <w:szCs w:val="24"/>
        </w:rPr>
        <w:t xml:space="preserve"> millones de dólares.</w:t>
      </w:r>
    </w:p>
    <w:p w14:paraId="7E1AA971" w14:textId="77777777" w:rsidR="00300DD0" w:rsidRDefault="002B157B" w:rsidP="004F7325">
      <w:pPr>
        <w:pStyle w:val="Sinespaciado1"/>
        <w:spacing w:before="120" w:after="120"/>
        <w:jc w:val="center"/>
        <w:rPr>
          <w:rFonts w:ascii="Century Gothic" w:hAnsi="Century Gothic" w:cs="MyriadPro-Regular"/>
          <w:i/>
          <w:szCs w:val="24"/>
        </w:rPr>
      </w:pPr>
      <w:r w:rsidRPr="002B157B">
        <w:rPr>
          <w:noProof/>
          <w:lang w:val="es-ES_tradnl" w:eastAsia="es-ES_tradnl"/>
        </w:rPr>
        <w:drawing>
          <wp:inline distT="0" distB="0" distL="0" distR="0" wp14:anchorId="6AE4025A" wp14:editId="483B39BF">
            <wp:extent cx="3228975" cy="1635120"/>
            <wp:effectExtent l="0" t="0" r="0" b="381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15" cy="163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9D713" w14:textId="77777777" w:rsidR="00D121BA" w:rsidRPr="00F33E37" w:rsidRDefault="00D12EB6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F33E37">
        <w:rPr>
          <w:rFonts w:ascii="Century Gothic" w:hAnsi="Century Gothic" w:cs="MyriadPro-Regular"/>
          <w:i/>
          <w:szCs w:val="24"/>
        </w:rPr>
        <w:t>D</w:t>
      </w:r>
      <w:r w:rsidR="002B157B" w:rsidRPr="00F33E37">
        <w:rPr>
          <w:rFonts w:ascii="Century Gothic" w:hAnsi="Century Gothic" w:cs="MyriadPro-Regular"/>
          <w:i/>
          <w:szCs w:val="24"/>
        </w:rPr>
        <w:t>el valor total de importaciones de alimentos y bebidas, e</w:t>
      </w:r>
      <w:r w:rsidR="00D121BA" w:rsidRPr="00F33E37">
        <w:rPr>
          <w:rFonts w:ascii="Century Gothic" w:hAnsi="Century Gothic" w:cs="MyriadPro-Regular"/>
          <w:i/>
          <w:szCs w:val="24"/>
        </w:rPr>
        <w:t>n e</w:t>
      </w:r>
      <w:r w:rsidRPr="00F33E37">
        <w:rPr>
          <w:rFonts w:ascii="Century Gothic" w:hAnsi="Century Gothic" w:cs="MyriadPro-Regular"/>
          <w:i/>
          <w:szCs w:val="24"/>
        </w:rPr>
        <w:t>l</w:t>
      </w:r>
      <w:r w:rsidR="00216B8D" w:rsidRPr="00F33E37">
        <w:rPr>
          <w:rFonts w:ascii="Century Gothic" w:hAnsi="Century Gothic" w:cs="MyriadPro-Regular"/>
          <w:i/>
          <w:szCs w:val="24"/>
        </w:rPr>
        <w:t xml:space="preserve"> primer bimestre </w:t>
      </w:r>
      <w:r w:rsidRPr="00F33E37">
        <w:rPr>
          <w:rFonts w:ascii="Century Gothic" w:hAnsi="Century Gothic" w:cs="MyriadPro-Regular"/>
          <w:i/>
          <w:szCs w:val="24"/>
        </w:rPr>
        <w:t xml:space="preserve">de </w:t>
      </w:r>
      <w:r w:rsidR="00D121BA" w:rsidRPr="00F33E37">
        <w:rPr>
          <w:rFonts w:ascii="Century Gothic" w:hAnsi="Century Gothic" w:cs="MyriadPro-Regular"/>
          <w:i/>
          <w:szCs w:val="24"/>
        </w:rPr>
        <w:t>201</w:t>
      </w:r>
      <w:r w:rsidR="006E35D9" w:rsidRPr="00F33E37">
        <w:rPr>
          <w:rFonts w:ascii="Century Gothic" w:hAnsi="Century Gothic" w:cs="MyriadPro-Regular"/>
          <w:i/>
          <w:szCs w:val="24"/>
        </w:rPr>
        <w:t>7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, </w:t>
      </w:r>
      <w:r w:rsidR="00216B8D" w:rsidRPr="00F33E37">
        <w:rPr>
          <w:rFonts w:ascii="Century Gothic" w:hAnsi="Century Gothic" w:cs="MyriadPro-Regular"/>
          <w:i/>
          <w:szCs w:val="24"/>
        </w:rPr>
        <w:t xml:space="preserve">los </w:t>
      </w:r>
      <w:r w:rsidRPr="00F33E37">
        <w:rPr>
          <w:rFonts w:ascii="Century Gothic" w:hAnsi="Century Gothic" w:cs="MyriadPro-Regular"/>
          <w:i/>
          <w:szCs w:val="24"/>
        </w:rPr>
        <w:t>10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países </w:t>
      </w:r>
      <w:r w:rsidR="00216B8D" w:rsidRPr="00F33E37">
        <w:rPr>
          <w:rFonts w:ascii="Century Gothic" w:hAnsi="Century Gothic" w:cs="MyriadPro-Regular"/>
          <w:i/>
          <w:szCs w:val="24"/>
        </w:rPr>
        <w:t xml:space="preserve">más importantes </w:t>
      </w:r>
      <w:r w:rsidRPr="00F33E37">
        <w:rPr>
          <w:rFonts w:ascii="Century Gothic" w:hAnsi="Century Gothic" w:cs="MyriadPro-Regular"/>
          <w:i/>
          <w:szCs w:val="24"/>
        </w:rPr>
        <w:t>concentran alrededor de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9</w:t>
      </w:r>
      <w:r w:rsidR="00216B8D" w:rsidRPr="00F33E37">
        <w:rPr>
          <w:rFonts w:ascii="Century Gothic" w:hAnsi="Century Gothic" w:cs="MyriadPro-Regular"/>
          <w:i/>
          <w:szCs w:val="24"/>
        </w:rPr>
        <w:t>2</w:t>
      </w:r>
      <w:r w:rsidR="00D121BA" w:rsidRPr="00F33E37">
        <w:rPr>
          <w:rFonts w:ascii="Century Gothic" w:hAnsi="Century Gothic" w:cs="MyriadPro-Regular"/>
          <w:i/>
          <w:szCs w:val="24"/>
        </w:rPr>
        <w:t>% del total de las importaciones de alimentos realizados por Bolivia, siendo el principal proveedor Argentina</w:t>
      </w:r>
      <w:r w:rsidRPr="00F33E37">
        <w:rPr>
          <w:rFonts w:ascii="Century Gothic" w:hAnsi="Century Gothic" w:cs="MyriadPro-Regular"/>
          <w:i/>
          <w:szCs w:val="24"/>
        </w:rPr>
        <w:t>,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</w:t>
      </w:r>
      <w:r w:rsidRPr="00F33E37">
        <w:rPr>
          <w:rFonts w:ascii="Century Gothic" w:hAnsi="Century Gothic" w:cs="MyriadPro-Regular"/>
          <w:i/>
          <w:szCs w:val="24"/>
        </w:rPr>
        <w:t>con una participación de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</w:t>
      </w:r>
      <w:r w:rsidR="00216B8D" w:rsidRPr="00F33E37">
        <w:rPr>
          <w:rFonts w:ascii="Century Gothic" w:hAnsi="Century Gothic" w:cs="MyriadPro-Regular"/>
          <w:i/>
          <w:szCs w:val="24"/>
        </w:rPr>
        <w:t>44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% </w:t>
      </w:r>
      <w:r w:rsidR="00452743" w:rsidRPr="00F33E37">
        <w:rPr>
          <w:rFonts w:ascii="Century Gothic" w:hAnsi="Century Gothic" w:cs="MyriadPro-Regular"/>
          <w:i/>
          <w:szCs w:val="24"/>
        </w:rPr>
        <w:t xml:space="preserve">sobre </w:t>
      </w:r>
      <w:r w:rsidR="00D121BA" w:rsidRPr="00F33E37">
        <w:rPr>
          <w:rFonts w:ascii="Century Gothic" w:hAnsi="Century Gothic" w:cs="MyriadPro-Regular"/>
          <w:i/>
          <w:szCs w:val="24"/>
        </w:rPr>
        <w:t>el total de las importaciones de alimentos</w:t>
      </w:r>
      <w:r w:rsidR="00452743" w:rsidRPr="00F33E37">
        <w:rPr>
          <w:rFonts w:ascii="Century Gothic" w:hAnsi="Century Gothic" w:cs="MyriadPro-Regular"/>
          <w:i/>
          <w:szCs w:val="24"/>
        </w:rPr>
        <w:t>;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le siguen Chile</w:t>
      </w:r>
      <w:r w:rsidR="00452743" w:rsidRPr="00F33E37">
        <w:rPr>
          <w:rFonts w:ascii="Century Gothic" w:hAnsi="Century Gothic" w:cs="MyriadPro-Regular"/>
          <w:i/>
          <w:szCs w:val="24"/>
        </w:rPr>
        <w:t>, con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</w:t>
      </w:r>
      <w:r w:rsidR="00216B8D" w:rsidRPr="00F33E37">
        <w:rPr>
          <w:rFonts w:ascii="Century Gothic" w:hAnsi="Century Gothic" w:cs="MyriadPro-Regular"/>
          <w:i/>
          <w:szCs w:val="24"/>
        </w:rPr>
        <w:t>13</w:t>
      </w:r>
      <w:r w:rsidR="00452743" w:rsidRPr="00F33E37">
        <w:rPr>
          <w:rFonts w:ascii="Century Gothic" w:hAnsi="Century Gothic" w:cs="MyriadPro-Regular"/>
          <w:i/>
          <w:szCs w:val="24"/>
        </w:rPr>
        <w:t>%;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Brasil </w:t>
      </w:r>
      <w:r w:rsidR="00452743" w:rsidRPr="00F33E37">
        <w:rPr>
          <w:rFonts w:ascii="Century Gothic" w:hAnsi="Century Gothic" w:cs="MyriadPro-Regular"/>
          <w:i/>
          <w:szCs w:val="24"/>
        </w:rPr>
        <w:t xml:space="preserve">con </w:t>
      </w:r>
      <w:r w:rsidR="00D121BA" w:rsidRPr="00F33E37">
        <w:rPr>
          <w:rFonts w:ascii="Century Gothic" w:hAnsi="Century Gothic" w:cs="MyriadPro-Regular"/>
          <w:i/>
          <w:szCs w:val="24"/>
        </w:rPr>
        <w:t>1</w:t>
      </w:r>
      <w:r w:rsidR="00216B8D" w:rsidRPr="00F33E37">
        <w:rPr>
          <w:rFonts w:ascii="Century Gothic" w:hAnsi="Century Gothic" w:cs="MyriadPro-Regular"/>
          <w:i/>
          <w:szCs w:val="24"/>
        </w:rPr>
        <w:t>1</w:t>
      </w:r>
      <w:r w:rsidR="00452743" w:rsidRPr="00F33E37">
        <w:rPr>
          <w:rFonts w:ascii="Century Gothic" w:hAnsi="Century Gothic" w:cs="MyriadPro-Regular"/>
          <w:i/>
          <w:szCs w:val="24"/>
        </w:rPr>
        <w:t>%;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Estados Unidos</w:t>
      </w:r>
      <w:r w:rsidR="00452743" w:rsidRPr="00F33E37">
        <w:rPr>
          <w:rFonts w:ascii="Century Gothic" w:hAnsi="Century Gothic" w:cs="MyriadPro-Regular"/>
          <w:i/>
          <w:szCs w:val="24"/>
        </w:rPr>
        <w:t>,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</w:t>
      </w:r>
      <w:r w:rsidR="00452743" w:rsidRPr="00F33E37">
        <w:rPr>
          <w:rFonts w:ascii="Century Gothic" w:hAnsi="Century Gothic" w:cs="MyriadPro-Regular"/>
          <w:i/>
          <w:szCs w:val="24"/>
        </w:rPr>
        <w:t xml:space="preserve">con </w:t>
      </w:r>
      <w:r w:rsidR="00D121BA" w:rsidRPr="00F33E37">
        <w:rPr>
          <w:rFonts w:ascii="Century Gothic" w:hAnsi="Century Gothic" w:cs="MyriadPro-Regular"/>
          <w:i/>
          <w:szCs w:val="24"/>
        </w:rPr>
        <w:t>10</w:t>
      </w:r>
      <w:r w:rsidR="00452743" w:rsidRPr="00F33E37">
        <w:rPr>
          <w:rFonts w:ascii="Century Gothic" w:hAnsi="Century Gothic" w:cs="MyriadPro-Regular"/>
          <w:i/>
          <w:szCs w:val="24"/>
        </w:rPr>
        <w:t>%;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</w:t>
      </w:r>
      <w:r w:rsidR="00216B8D" w:rsidRPr="00F33E37">
        <w:rPr>
          <w:rFonts w:ascii="Century Gothic" w:hAnsi="Century Gothic" w:cs="MyriadPro-Regular"/>
          <w:i/>
          <w:szCs w:val="24"/>
        </w:rPr>
        <w:t xml:space="preserve">Perú </w:t>
      </w:r>
      <w:r w:rsidR="00452743" w:rsidRPr="00F33E37">
        <w:rPr>
          <w:rFonts w:ascii="Century Gothic" w:hAnsi="Century Gothic" w:cs="MyriadPro-Regular"/>
          <w:i/>
          <w:szCs w:val="24"/>
        </w:rPr>
        <w:t xml:space="preserve">con </w:t>
      </w:r>
      <w:r w:rsidR="00216B8D" w:rsidRPr="00F33E37">
        <w:rPr>
          <w:rFonts w:ascii="Century Gothic" w:hAnsi="Century Gothic" w:cs="MyriadPro-Regular"/>
          <w:i/>
          <w:szCs w:val="24"/>
        </w:rPr>
        <w:t>8</w:t>
      </w:r>
      <w:r w:rsidR="00452743" w:rsidRPr="00F33E37">
        <w:rPr>
          <w:rFonts w:ascii="Century Gothic" w:hAnsi="Century Gothic" w:cs="MyriadPro-Regular"/>
          <w:i/>
          <w:szCs w:val="24"/>
        </w:rPr>
        <w:t>%;</w:t>
      </w:r>
      <w:r w:rsidR="00216B8D" w:rsidRPr="00F33E37">
        <w:rPr>
          <w:rFonts w:ascii="Century Gothic" w:hAnsi="Century Gothic" w:cs="MyriadPro-Regular"/>
          <w:i/>
          <w:szCs w:val="24"/>
        </w:rPr>
        <w:t xml:space="preserve"> </w:t>
      </w:r>
      <w:r w:rsidR="00D121BA" w:rsidRPr="00F33E37">
        <w:rPr>
          <w:rFonts w:ascii="Century Gothic" w:hAnsi="Century Gothic" w:cs="MyriadPro-Regular"/>
          <w:i/>
          <w:szCs w:val="24"/>
        </w:rPr>
        <w:t>Colombia</w:t>
      </w:r>
      <w:r w:rsidR="00216B8D" w:rsidRPr="00F33E37">
        <w:rPr>
          <w:rFonts w:ascii="Century Gothic" w:hAnsi="Century Gothic" w:cs="MyriadPro-Regular"/>
          <w:i/>
          <w:szCs w:val="24"/>
        </w:rPr>
        <w:t>,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México y China</w:t>
      </w:r>
      <w:r w:rsidR="00452743" w:rsidRPr="00F33E37">
        <w:rPr>
          <w:rFonts w:ascii="Century Gothic" w:hAnsi="Century Gothic" w:cs="MyriadPro-Regular"/>
          <w:i/>
          <w:szCs w:val="24"/>
        </w:rPr>
        <w:t>,</w:t>
      </w:r>
      <w:r w:rsidR="00D121BA" w:rsidRPr="00F33E37">
        <w:rPr>
          <w:rFonts w:ascii="Century Gothic" w:hAnsi="Century Gothic" w:cs="MyriadPro-Regular"/>
          <w:i/>
          <w:szCs w:val="24"/>
        </w:rPr>
        <w:t xml:space="preserve"> cada uno con 2%.</w:t>
      </w:r>
    </w:p>
    <w:p w14:paraId="68DCBC81" w14:textId="147FF68F" w:rsidR="00D121BA" w:rsidRDefault="00F33E37" w:rsidP="00D121BA">
      <w:pPr>
        <w:pStyle w:val="Sinespaciado1"/>
        <w:spacing w:before="120" w:after="120"/>
        <w:jc w:val="center"/>
        <w:rPr>
          <w:rFonts w:ascii="Century Gothic" w:hAnsi="Century Gothic" w:cs="MyriadPro-Regular"/>
          <w:i/>
          <w:szCs w:val="24"/>
        </w:rPr>
      </w:pPr>
      <w:r w:rsidRPr="00F33E37">
        <w:rPr>
          <w:noProof/>
          <w:lang w:val="es-ES_tradnl" w:eastAsia="es-ES_tradnl"/>
        </w:rPr>
        <w:drawing>
          <wp:inline distT="0" distB="0" distL="0" distR="0" wp14:anchorId="787A5680" wp14:editId="46607EFB">
            <wp:extent cx="3334129" cy="2168106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559" cy="2169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15F8B" w14:textId="77777777" w:rsidR="00F33E37" w:rsidRPr="00D31DBB" w:rsidRDefault="00F33E37" w:rsidP="00F33E37">
      <w:pPr>
        <w:pStyle w:val="Sinespaciado1"/>
        <w:spacing w:before="120" w:after="120"/>
        <w:jc w:val="both"/>
        <w:rPr>
          <w:rFonts w:ascii="Century Gothic" w:hAnsi="Century Gothic" w:cs="MyriadPro-Regular"/>
          <w:b/>
          <w:szCs w:val="24"/>
        </w:rPr>
      </w:pPr>
      <w:r w:rsidRPr="00D31DBB">
        <w:rPr>
          <w:rFonts w:ascii="Century Gothic" w:hAnsi="Century Gothic" w:cs="MyriadPro-Regular"/>
          <w:b/>
          <w:szCs w:val="24"/>
        </w:rPr>
        <w:t>Países limítrofes</w:t>
      </w:r>
    </w:p>
    <w:p w14:paraId="340B1F04" w14:textId="77777777" w:rsidR="00F33E37" w:rsidRPr="00F33E37" w:rsidRDefault="00F33E37" w:rsidP="00F33E37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F33E37">
        <w:rPr>
          <w:rFonts w:ascii="Century Gothic" w:hAnsi="Century Gothic" w:cs="MyriadPro-Regular"/>
          <w:i/>
          <w:szCs w:val="24"/>
        </w:rPr>
        <w:t>Respecto a los alimentos importados para el consumo de los hogares, 70% de este rubro fue procedente de los cinco países limítrofes.</w:t>
      </w:r>
    </w:p>
    <w:p w14:paraId="29B1B189" w14:textId="28643033" w:rsidR="00F33E37" w:rsidRPr="00F33E37" w:rsidRDefault="00F33E37" w:rsidP="00F33E37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F33E37">
        <w:rPr>
          <w:rFonts w:ascii="Century Gothic" w:hAnsi="Century Gothic" w:cs="MyriadPro-Regular"/>
          <w:i/>
          <w:szCs w:val="24"/>
        </w:rPr>
        <w:t>El valor de la importación de los alimentos básicos provenientes de países vecinos, durante enero y febrero, fue superior a 43 millones de dólares</w:t>
      </w:r>
      <w:r w:rsidR="002B7D03">
        <w:rPr>
          <w:rFonts w:ascii="Century Gothic" w:hAnsi="Century Gothic" w:cs="MyriadPro-Regular"/>
          <w:i/>
          <w:szCs w:val="24"/>
        </w:rPr>
        <w:t>,</w:t>
      </w:r>
      <w:r w:rsidRPr="00F33E37">
        <w:rPr>
          <w:rFonts w:ascii="Century Gothic" w:hAnsi="Century Gothic" w:cs="MyriadPro-Regular"/>
          <w:i/>
          <w:szCs w:val="24"/>
        </w:rPr>
        <w:t xml:space="preserve"> y de los alimentos elaborados de 4 millones de dólares. En total, el incremento de la importación de los alimentos para el consumo directo de los hogares fue de 12,9%.</w:t>
      </w:r>
    </w:p>
    <w:p w14:paraId="20F4A522" w14:textId="09F0E874" w:rsidR="00F33E37" w:rsidRPr="00F33E37" w:rsidRDefault="00F33E37" w:rsidP="00F33E37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F33E37">
        <w:rPr>
          <w:rFonts w:ascii="Century Gothic" w:hAnsi="Century Gothic" w:cs="MyriadPro-Regular"/>
          <w:i/>
          <w:szCs w:val="24"/>
        </w:rPr>
        <w:t xml:space="preserve">Argentina fue el principal país que abasteció a Bolivia con alimentos para el consumo de los hogares por valor de 15 millones de dólares durante ese periodo; seguido por Chile, de este país se importaron alimentos por 14 millones de dólares, dato que registra un </w:t>
      </w:r>
      <w:r w:rsidR="00DD69EA">
        <w:rPr>
          <w:rFonts w:ascii="Century Gothic" w:hAnsi="Century Gothic" w:cs="MyriadPro-Regular"/>
          <w:i/>
          <w:szCs w:val="24"/>
        </w:rPr>
        <w:t>incremento de 28,4%, durante es</w:t>
      </w:r>
      <w:r w:rsidRPr="00F33E37">
        <w:rPr>
          <w:rFonts w:ascii="Century Gothic" w:hAnsi="Century Gothic" w:cs="MyriadPro-Regular"/>
          <w:i/>
          <w:szCs w:val="24"/>
        </w:rPr>
        <w:t>os dos primeros meses.</w:t>
      </w:r>
    </w:p>
    <w:p w14:paraId="646FC8B4" w14:textId="43186072" w:rsidR="00F33E37" w:rsidRPr="0037602F" w:rsidRDefault="00F33E37" w:rsidP="00F33E37">
      <w:pPr>
        <w:pStyle w:val="Sinespaciado1"/>
        <w:spacing w:before="120" w:after="120"/>
        <w:jc w:val="center"/>
        <w:rPr>
          <w:rFonts w:ascii="Century Gothic" w:hAnsi="Century Gothic" w:cs="MyriadPro-Regular"/>
          <w:szCs w:val="24"/>
        </w:rPr>
      </w:pPr>
      <w:r w:rsidRPr="00F33E37">
        <w:rPr>
          <w:noProof/>
          <w:lang w:val="es-ES_tradnl" w:eastAsia="es-ES_tradnl"/>
        </w:rPr>
        <w:lastRenderedPageBreak/>
        <w:drawing>
          <wp:inline distT="0" distB="0" distL="0" distR="0" wp14:anchorId="634F9CF3" wp14:editId="19D7BB5F">
            <wp:extent cx="4641012" cy="1490419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787" cy="1492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8A170" w14:textId="77777777" w:rsidR="00F35179" w:rsidRPr="00F33E37" w:rsidRDefault="00D121BA" w:rsidP="00F948DE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F33E37">
        <w:rPr>
          <w:rFonts w:ascii="Century Gothic" w:hAnsi="Century Gothic" w:cs="MyriadPro-Regular"/>
          <w:i/>
          <w:szCs w:val="24"/>
        </w:rPr>
        <w:t>La importación de alimentos se ha ido incrementando de forma considerable desde el año 2007</w:t>
      </w:r>
      <w:r w:rsidR="00452743" w:rsidRPr="00F33E37">
        <w:rPr>
          <w:rFonts w:ascii="Century Gothic" w:hAnsi="Century Gothic" w:cs="MyriadPro-Regular"/>
          <w:i/>
          <w:szCs w:val="24"/>
        </w:rPr>
        <w:t>. C</w:t>
      </w:r>
      <w:r w:rsidR="00F948DE" w:rsidRPr="00F33E37">
        <w:rPr>
          <w:rFonts w:ascii="Century Gothic" w:hAnsi="Century Gothic" w:cs="MyriadPro-Regular"/>
          <w:i/>
          <w:szCs w:val="24"/>
        </w:rPr>
        <w:t xml:space="preserve">ada mes se </w:t>
      </w:r>
      <w:r w:rsidR="00241071" w:rsidRPr="00F33E37">
        <w:rPr>
          <w:rFonts w:ascii="Century Gothic" w:hAnsi="Century Gothic" w:cs="MyriadPro-Regular"/>
          <w:i/>
          <w:szCs w:val="24"/>
        </w:rPr>
        <w:t>compra</w:t>
      </w:r>
      <w:r w:rsidR="00F948DE" w:rsidRPr="00F33E37">
        <w:rPr>
          <w:rFonts w:ascii="Century Gothic" w:hAnsi="Century Gothic" w:cs="MyriadPro-Regular"/>
          <w:i/>
          <w:szCs w:val="24"/>
        </w:rPr>
        <w:t xml:space="preserve"> </w:t>
      </w:r>
      <w:r w:rsidR="009B5C80" w:rsidRPr="00F33E37">
        <w:rPr>
          <w:rFonts w:ascii="Century Gothic" w:hAnsi="Century Gothic" w:cs="MyriadPro-Regular"/>
          <w:i/>
          <w:szCs w:val="24"/>
        </w:rPr>
        <w:t>del exterior más de 50 millones</w:t>
      </w:r>
      <w:r w:rsidR="00F948DE" w:rsidRPr="00F33E37">
        <w:rPr>
          <w:rFonts w:ascii="Century Gothic" w:hAnsi="Century Gothic" w:cs="MyriadPro-Regular"/>
          <w:i/>
          <w:szCs w:val="24"/>
        </w:rPr>
        <w:t xml:space="preserve"> de dólares</w:t>
      </w:r>
      <w:r w:rsidR="00452743" w:rsidRPr="00F33E37">
        <w:rPr>
          <w:rFonts w:ascii="Century Gothic" w:hAnsi="Century Gothic" w:cs="MyriadPro-Regular"/>
          <w:i/>
          <w:szCs w:val="24"/>
        </w:rPr>
        <w:t>.</w:t>
      </w:r>
      <w:r w:rsidR="00F948DE" w:rsidRPr="00F33E37">
        <w:rPr>
          <w:rFonts w:ascii="Century Gothic" w:hAnsi="Century Gothic" w:cs="MyriadPro-Regular"/>
          <w:i/>
          <w:szCs w:val="24"/>
        </w:rPr>
        <w:t xml:space="preserve"> </w:t>
      </w:r>
    </w:p>
    <w:p w14:paraId="52963A33" w14:textId="77777777" w:rsidR="00F948DE" w:rsidRPr="00F33E37" w:rsidRDefault="00F35179" w:rsidP="00F948DE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F33E37">
        <w:rPr>
          <w:rFonts w:ascii="Century Gothic" w:hAnsi="Century Gothic" w:cs="MyriadPro-Regular"/>
          <w:i/>
          <w:szCs w:val="24"/>
        </w:rPr>
        <w:t>Los</w:t>
      </w:r>
      <w:r w:rsidR="00F948DE" w:rsidRPr="00F33E37">
        <w:rPr>
          <w:rFonts w:ascii="Century Gothic" w:hAnsi="Century Gothic" w:cs="MyriadPro-Regular"/>
          <w:i/>
          <w:szCs w:val="24"/>
        </w:rPr>
        <w:t xml:space="preserve"> productos alimenticio</w:t>
      </w:r>
      <w:r w:rsidRPr="00F33E37">
        <w:rPr>
          <w:rFonts w:ascii="Century Gothic" w:hAnsi="Century Gothic" w:cs="MyriadPro-Regular"/>
          <w:i/>
          <w:szCs w:val="24"/>
        </w:rPr>
        <w:t>s</w:t>
      </w:r>
      <w:r w:rsidR="00F948DE" w:rsidRPr="00F33E37">
        <w:rPr>
          <w:rFonts w:ascii="Century Gothic" w:hAnsi="Century Gothic" w:cs="MyriadPro-Regular"/>
          <w:i/>
          <w:szCs w:val="24"/>
        </w:rPr>
        <w:t xml:space="preserve"> que mayormente se importa</w:t>
      </w:r>
      <w:r w:rsidR="002B157B" w:rsidRPr="00F33E37">
        <w:rPr>
          <w:rFonts w:ascii="Century Gothic" w:hAnsi="Century Gothic" w:cs="MyriadPro-Regular"/>
          <w:i/>
          <w:szCs w:val="24"/>
        </w:rPr>
        <w:t>ron en el primer bimestre</w:t>
      </w:r>
      <w:r w:rsidR="00F948DE" w:rsidRPr="00F33E37">
        <w:rPr>
          <w:rFonts w:ascii="Century Gothic" w:hAnsi="Century Gothic" w:cs="MyriadPro-Regular"/>
          <w:i/>
          <w:szCs w:val="24"/>
        </w:rPr>
        <w:t xml:space="preserve"> </w:t>
      </w:r>
      <w:r w:rsidR="00007FAC" w:rsidRPr="00F33E37">
        <w:rPr>
          <w:rFonts w:ascii="Century Gothic" w:hAnsi="Century Gothic" w:cs="MyriadPro-Regular"/>
          <w:i/>
          <w:szCs w:val="24"/>
        </w:rPr>
        <w:t>fueron aquellos destinados a</w:t>
      </w:r>
      <w:r w:rsidR="004D09EB" w:rsidRPr="00F33E37">
        <w:rPr>
          <w:rFonts w:ascii="Century Gothic" w:hAnsi="Century Gothic" w:cs="MyriadPro-Regular"/>
          <w:i/>
          <w:szCs w:val="24"/>
        </w:rPr>
        <w:t xml:space="preserve"> la preparación</w:t>
      </w:r>
      <w:r w:rsidR="00F948DE" w:rsidRPr="00F33E37">
        <w:rPr>
          <w:rFonts w:ascii="Century Gothic" w:hAnsi="Century Gothic" w:cs="MyriadPro-Regular"/>
          <w:i/>
          <w:szCs w:val="24"/>
        </w:rPr>
        <w:t xml:space="preserve"> </w:t>
      </w:r>
      <w:r w:rsidR="00FF2DD2" w:rsidRPr="00F33E37">
        <w:rPr>
          <w:rFonts w:ascii="Century Gothic" w:hAnsi="Century Gothic" w:cs="MyriadPro-Regular"/>
          <w:i/>
          <w:szCs w:val="24"/>
        </w:rPr>
        <w:t>de bebidas, concentrados de proteínas, condimentos, sazonadores y café</w:t>
      </w:r>
      <w:r w:rsidR="006346BE" w:rsidRPr="00F33E37">
        <w:rPr>
          <w:rFonts w:ascii="Century Gothic" w:hAnsi="Century Gothic" w:cs="MyriadPro-Regular"/>
          <w:i/>
          <w:szCs w:val="24"/>
        </w:rPr>
        <w:t>. El valor</w:t>
      </w:r>
      <w:r w:rsidR="004D09EB" w:rsidRPr="00F33E37">
        <w:rPr>
          <w:rFonts w:ascii="Century Gothic" w:hAnsi="Century Gothic" w:cs="MyriadPro-Regular"/>
          <w:i/>
          <w:szCs w:val="24"/>
        </w:rPr>
        <w:t xml:space="preserve"> de esos productos fue</w:t>
      </w:r>
      <w:r w:rsidR="00F948DE" w:rsidRPr="00F33E37">
        <w:rPr>
          <w:rFonts w:ascii="Century Gothic" w:hAnsi="Century Gothic" w:cs="MyriadPro-Regular"/>
          <w:i/>
          <w:szCs w:val="24"/>
        </w:rPr>
        <w:t xml:space="preserve"> superior a 23 millones de dólares</w:t>
      </w:r>
      <w:r w:rsidR="004D09EB" w:rsidRPr="00F33E37">
        <w:rPr>
          <w:rFonts w:ascii="Century Gothic" w:hAnsi="Century Gothic" w:cs="MyriadPro-Regular"/>
          <w:i/>
          <w:szCs w:val="24"/>
        </w:rPr>
        <w:t>.</w:t>
      </w:r>
    </w:p>
    <w:p w14:paraId="6843A1BF" w14:textId="77777777" w:rsidR="00F948DE" w:rsidRPr="00F33E37" w:rsidRDefault="00F948DE" w:rsidP="00F948DE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F33E37">
        <w:rPr>
          <w:rFonts w:ascii="Century Gothic" w:hAnsi="Century Gothic" w:cs="MyriadPro-Regular"/>
          <w:i/>
          <w:szCs w:val="24"/>
        </w:rPr>
        <w:t>En segunda instancia se encuentra la importación de productos de molinería</w:t>
      </w:r>
      <w:r w:rsidR="004D09EB" w:rsidRPr="00F33E37">
        <w:rPr>
          <w:rFonts w:ascii="Century Gothic" w:hAnsi="Century Gothic" w:cs="MyriadPro-Regular"/>
          <w:i/>
          <w:szCs w:val="24"/>
        </w:rPr>
        <w:t>,</w:t>
      </w:r>
      <w:r w:rsidRPr="00F33E37">
        <w:rPr>
          <w:rFonts w:ascii="Century Gothic" w:hAnsi="Century Gothic" w:cs="MyriadPro-Regular"/>
          <w:i/>
          <w:szCs w:val="24"/>
        </w:rPr>
        <w:t xml:space="preserve"> </w:t>
      </w:r>
      <w:r w:rsidR="00C0300D" w:rsidRPr="00F33E37">
        <w:rPr>
          <w:rFonts w:ascii="Century Gothic" w:hAnsi="Century Gothic" w:cs="MyriadPro-Regular"/>
          <w:i/>
          <w:szCs w:val="24"/>
        </w:rPr>
        <w:t xml:space="preserve">como harina de trigo y malta, </w:t>
      </w:r>
      <w:r w:rsidRPr="00F33E37">
        <w:rPr>
          <w:rFonts w:ascii="Century Gothic" w:hAnsi="Century Gothic" w:cs="MyriadPro-Regular"/>
          <w:i/>
          <w:szCs w:val="24"/>
        </w:rPr>
        <w:t>por m</w:t>
      </w:r>
      <w:r w:rsidR="00C0300D" w:rsidRPr="00F33E37">
        <w:rPr>
          <w:rFonts w:ascii="Century Gothic" w:hAnsi="Century Gothic" w:cs="MyriadPro-Regular"/>
          <w:i/>
          <w:szCs w:val="24"/>
        </w:rPr>
        <w:t>á</w:t>
      </w:r>
      <w:r w:rsidRPr="00F33E37">
        <w:rPr>
          <w:rFonts w:ascii="Century Gothic" w:hAnsi="Century Gothic" w:cs="MyriadPro-Regular"/>
          <w:i/>
          <w:szCs w:val="24"/>
        </w:rPr>
        <w:t xml:space="preserve">s de </w:t>
      </w:r>
      <w:r w:rsidR="00C0300D" w:rsidRPr="00F33E37">
        <w:rPr>
          <w:rFonts w:ascii="Century Gothic" w:hAnsi="Century Gothic" w:cs="MyriadPro-Regular"/>
          <w:i/>
          <w:szCs w:val="24"/>
        </w:rPr>
        <w:t>22 millones de dólares</w:t>
      </w:r>
      <w:r w:rsidR="00F35179" w:rsidRPr="00F33E37">
        <w:rPr>
          <w:rFonts w:ascii="Century Gothic" w:hAnsi="Century Gothic" w:cs="MyriadPro-Regular"/>
          <w:i/>
          <w:szCs w:val="24"/>
        </w:rPr>
        <w:t>.</w:t>
      </w:r>
    </w:p>
    <w:p w14:paraId="05A119D2" w14:textId="77777777" w:rsidR="0078087A" w:rsidRPr="00F33E37" w:rsidRDefault="0078087A" w:rsidP="00F948DE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F33E37">
        <w:rPr>
          <w:rFonts w:ascii="Century Gothic" w:hAnsi="Century Gothic" w:cs="MyriadPro-Regular"/>
          <w:i/>
          <w:szCs w:val="24"/>
        </w:rPr>
        <w:t>Comparando periodos similares respecto de la gestión 2016, el mayor incremento de este bimestre fue en la importación de cereales</w:t>
      </w:r>
      <w:r w:rsidR="004D09EB" w:rsidRPr="00F33E37">
        <w:rPr>
          <w:rFonts w:ascii="Century Gothic" w:hAnsi="Century Gothic" w:cs="MyriadPro-Regular"/>
          <w:i/>
          <w:szCs w:val="24"/>
        </w:rPr>
        <w:t>,</w:t>
      </w:r>
      <w:r w:rsidRPr="00F33E37">
        <w:rPr>
          <w:rFonts w:ascii="Century Gothic" w:hAnsi="Century Gothic" w:cs="MyriadPro-Regular"/>
          <w:i/>
          <w:szCs w:val="24"/>
        </w:rPr>
        <w:t xml:space="preserve"> entre los cuales se encuentran principalmente trigo y arroz</w:t>
      </w:r>
      <w:r w:rsidR="004D09EB" w:rsidRPr="00F33E37">
        <w:rPr>
          <w:rFonts w:ascii="Century Gothic" w:hAnsi="Century Gothic" w:cs="MyriadPro-Regular"/>
          <w:i/>
          <w:szCs w:val="24"/>
        </w:rPr>
        <w:t>,</w:t>
      </w:r>
      <w:r w:rsidRPr="00F33E37">
        <w:rPr>
          <w:rFonts w:ascii="Century Gothic" w:hAnsi="Century Gothic" w:cs="MyriadPro-Regular"/>
          <w:i/>
          <w:szCs w:val="24"/>
        </w:rPr>
        <w:t xml:space="preserve"> </w:t>
      </w:r>
      <w:r w:rsidR="00B5198C" w:rsidRPr="00F33E37">
        <w:rPr>
          <w:rFonts w:ascii="Century Gothic" w:hAnsi="Century Gothic" w:cs="MyriadPro-Regular"/>
          <w:i/>
          <w:szCs w:val="24"/>
        </w:rPr>
        <w:t>con una variación de</w:t>
      </w:r>
      <w:r w:rsidRPr="00F33E37">
        <w:rPr>
          <w:rFonts w:ascii="Century Gothic" w:hAnsi="Century Gothic" w:cs="MyriadPro-Regular"/>
          <w:i/>
          <w:szCs w:val="24"/>
        </w:rPr>
        <w:t xml:space="preserve"> </w:t>
      </w:r>
      <w:r w:rsidR="00152E06" w:rsidRPr="00F33E37">
        <w:rPr>
          <w:rFonts w:ascii="Century Gothic" w:hAnsi="Century Gothic" w:cs="MyriadPro-Regular"/>
          <w:i/>
          <w:szCs w:val="24"/>
        </w:rPr>
        <w:t>643%.</w:t>
      </w:r>
    </w:p>
    <w:p w14:paraId="10684351" w14:textId="101E394D" w:rsidR="00F948DE" w:rsidRPr="00D121BA" w:rsidRDefault="00F33E37" w:rsidP="00F948DE">
      <w:pPr>
        <w:pStyle w:val="Sinespaciado1"/>
        <w:spacing w:before="120" w:after="120"/>
        <w:jc w:val="center"/>
        <w:rPr>
          <w:rFonts w:ascii="Century Gothic" w:hAnsi="Century Gothic" w:cs="MyriadPro-Regular"/>
          <w:i/>
          <w:szCs w:val="24"/>
        </w:rPr>
      </w:pPr>
      <w:r w:rsidRPr="00F33E37">
        <w:rPr>
          <w:noProof/>
          <w:lang w:val="es-ES_tradnl" w:eastAsia="es-ES_tradnl"/>
        </w:rPr>
        <w:drawing>
          <wp:inline distT="0" distB="0" distL="0" distR="0" wp14:anchorId="2FD68C3B" wp14:editId="57C53099">
            <wp:extent cx="4876800" cy="2924714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837" cy="292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B2C7B" w14:textId="77777777" w:rsidR="00C963D6" w:rsidRDefault="00C963D6" w:rsidP="00466C41">
      <w:pPr>
        <w:pStyle w:val="Sinespaciado1"/>
        <w:spacing w:before="120" w:after="120"/>
        <w:jc w:val="center"/>
        <w:rPr>
          <w:rFonts w:ascii="Century Gothic" w:hAnsi="Century Gothic" w:cs="MyriadPro-Regular"/>
          <w:i/>
          <w:szCs w:val="24"/>
        </w:rPr>
      </w:pPr>
    </w:p>
    <w:p w14:paraId="7B162B0B" w14:textId="77777777" w:rsidR="00CE277C" w:rsidRPr="002862F5" w:rsidRDefault="00CE277C" w:rsidP="00CE277C">
      <w:pPr>
        <w:pStyle w:val="Sinespaciado1"/>
        <w:spacing w:before="120" w:after="120"/>
        <w:jc w:val="center"/>
        <w:rPr>
          <w:rFonts w:ascii="Century Gothic" w:hAnsi="Century Gothic" w:cs="MyriadPro-Regular"/>
        </w:rPr>
      </w:pPr>
    </w:p>
    <w:sectPr w:rsidR="00CE277C" w:rsidRPr="002862F5" w:rsidSect="008740C0">
      <w:headerReference w:type="default" r:id="rId14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0CFC6A" w14:textId="77777777" w:rsidR="006E3B6A" w:rsidRDefault="006E3B6A" w:rsidP="008740C0">
      <w:pPr>
        <w:spacing w:after="0" w:line="240" w:lineRule="auto"/>
      </w:pPr>
      <w:r>
        <w:separator/>
      </w:r>
    </w:p>
  </w:endnote>
  <w:endnote w:type="continuationSeparator" w:id="0">
    <w:p w14:paraId="77FB8F2B" w14:textId="77777777" w:rsidR="006E3B6A" w:rsidRDefault="006E3B6A" w:rsidP="0087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58CA26" w14:textId="77777777" w:rsidR="006E3B6A" w:rsidRDefault="006E3B6A" w:rsidP="008740C0">
      <w:pPr>
        <w:spacing w:after="0" w:line="240" w:lineRule="auto"/>
      </w:pPr>
      <w:r>
        <w:separator/>
      </w:r>
    </w:p>
  </w:footnote>
  <w:footnote w:type="continuationSeparator" w:id="0">
    <w:p w14:paraId="22126A82" w14:textId="77777777" w:rsidR="006E3B6A" w:rsidRDefault="006E3B6A" w:rsidP="008740C0">
      <w:pPr>
        <w:spacing w:after="0" w:line="240" w:lineRule="auto"/>
      </w:pPr>
      <w:r>
        <w:continuationSeparator/>
      </w:r>
    </w:p>
  </w:footnote>
  <w:footnote w:id="1">
    <w:p w14:paraId="53D112D0" w14:textId="77777777" w:rsidR="00F45EE3" w:rsidRDefault="00F45EE3" w:rsidP="00F45EE3">
      <w:pPr>
        <w:pStyle w:val="Piedepgina"/>
      </w:pPr>
      <w:r>
        <w:rPr>
          <w:rStyle w:val="Refdenotaalpie"/>
        </w:rPr>
        <w:footnoteRef/>
      </w:r>
      <w:r>
        <w:t xml:space="preserve"> </w:t>
      </w:r>
      <w:r w:rsidRPr="00F45EE3">
        <w:rPr>
          <w:color w:val="7F7F7F" w:themeColor="text1" w:themeTint="80"/>
          <w:sz w:val="18"/>
        </w:rPr>
        <w:t>Información oficial disponible a febrero de 2017</w:t>
      </w:r>
    </w:p>
    <w:p w14:paraId="52C0A213" w14:textId="568BFF61" w:rsidR="00F45EE3" w:rsidRDefault="00F45EE3">
      <w:pPr>
        <w:pStyle w:val="Textonotapie"/>
      </w:pP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68097" w14:textId="77777777" w:rsidR="002B157B" w:rsidRDefault="002B157B">
    <w:pPr>
      <w:pStyle w:val="Encabezado"/>
    </w:pPr>
    <w:r>
      <w:rPr>
        <w:noProof/>
        <w:lang w:val="es-ES_tradnl" w:eastAsia="es-ES_tradnl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5452EB1" wp14:editId="5A1D1FA8">
              <wp:simplePos x="0" y="0"/>
              <wp:positionH relativeFrom="column">
                <wp:posOffset>-143510</wp:posOffset>
              </wp:positionH>
              <wp:positionV relativeFrom="paragraph">
                <wp:posOffset>68580</wp:posOffset>
              </wp:positionV>
              <wp:extent cx="5981700" cy="67310"/>
              <wp:effectExtent l="0" t="0" r="19050" b="8890"/>
              <wp:wrapTight wrapText="bothSides">
                <wp:wrapPolygon edited="0">
                  <wp:start x="0" y="0"/>
                  <wp:lineTo x="0" y="6113"/>
                  <wp:lineTo x="19261" y="18340"/>
                  <wp:lineTo x="21600" y="18340"/>
                  <wp:lineTo x="21600" y="0"/>
                  <wp:lineTo x="0" y="0"/>
                </wp:wrapPolygon>
              </wp:wrapTight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67310"/>
                        <a:chOff x="1699" y="3060"/>
                        <a:chExt cx="8820" cy="115"/>
                      </a:xfrm>
                    </wpg:grpSpPr>
                    <wps:wsp>
                      <wps:cNvPr id="7" name="Line 2"/>
                      <wps:cNvCnPr/>
                      <wps:spPr bwMode="auto">
                        <a:xfrm>
                          <a:off x="1699" y="3060"/>
                          <a:ext cx="88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9619" y="3060"/>
                          <a:ext cx="900" cy="11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-11.3pt;margin-top:5.4pt;width:471pt;height:5.3pt;z-index:251657216" coordorigin="1699,3060" coordsize="8820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SJOZAMAAL0IAAAOAAAAZHJzL2Uyb0RvYy54bWy8Vm1vnDgQ/l7p/oPl7wS8y7KAQqp0X6JK&#10;6V3U9H6AFwxYBZvabEha3X+/sQ2bzbZJo5x0+wFsxh7PPPM8nj1/f9826I4pzaXIMDkLMGIilwUX&#10;VYb//rL1Yox0T0VBGylYhh+Yxu8v/nh3PnQpm8laNgVTCJwInQ5dhuu+71Lf13nNWqrPZMcEGEup&#10;WtrDVFV+oegA3tvGnwVB5A9SFZ2SOdMavq6dEV9Y/2XJ8v6vstSsR02GIbbePpV97szTvzinaaVo&#10;V/N8DIO+IYqWcgGHHlytaU/RXvGfXLU8V1LLsj/LZevLsuQ5szlANiQ4yeZKyX1nc6nSoeoOMAG0&#10;Jzi92W3+592NQrzIcISRoC2UyJ6KiIFm6KoUVlyp7ra7US4/GF7L/KsGs39qN/PKLUa74ZMswB3d&#10;99JCc1+q1riApNG9rcDDoQLsvkc5fFwkMVkGUKgcbNFyTsYK5TWU0ewiUZJgBMZ5EB1sm3F3HM/G&#10;rYQsTPw+Td2pNtIxMpMWkE0/4qn/G563Ne2YLZM2aI14Lic8r7lgaObgtAtW4kZZcHWqAdbfIvWL&#10;nCe8HjO2YBzypWmndH/FZIvMIMMNBGGrQO+ude+gmZaYogi55U0D32naCDRkOFnMFnaDlg0vjNHY&#10;tKp2q0ahO2r0FMznUTTi/GQZ8FYU1lnNaLEZxz3ljRtDnI0w/iAPCGccOcH8SIJkE2/i0Atn0cYL&#10;g/Xau9yuQi/akuViPV+vVmvyjwmNhGnNi4IJE90kXhK+rpjjNeJkd5DvAQb/qXdLJQh2etuggVSu&#10;go5RO1k82MLa78Cv/4looAcn3M9w21FRNQzNj9g2KVc72SIhVzWsYpdKycGUB9hvxW7DBv66DVNu&#10;v2VnEpFTRU7sTCYln8rxJ3oqCP0lej5h1ytJ6Bh2VNGXOEdmYfBhlnjbKF564TZceMkyiL2AJB+S&#10;KAiTcL19yjmrate3gCpv5dyrlRbA71dKa3kP/bPhbYZjs2a8E5+T3UEyJvyJzNP7eVIjJeEOgbsV&#10;Oj0Maqm+YzRA18yw/ranimHUfBRApISEoWmzdhIuluY+VseW3bGFihxcZbjHyA1XvWvN+07xqoaT&#10;iCWFkJfQREpu7y1DTCc1iHu8ye3I9kiby9jPTRM+nttVj/86Lv4FAAD//wMAUEsDBBQABgAIAAAA&#10;IQC/k3+M3wAAAAkBAAAPAAAAZHJzL2Rvd25yZXYueG1sTI9BS8NAEIXvgv9hGcFbu9lYi43ZlFLU&#10;UxFsBfG2zU6T0OxsyG6T9N87nvQ4vI8338vXk2vFgH1oPGlQ8wQEUultQ5WGz8Pr7AlEiIasaT2h&#10;hisGWBe3N7nJrB/pA4d9rASXUMiMhjrGLpMylDU6E+a+Q+Ls5HtnIp99JW1vRi53rUyTZCmdaYg/&#10;1KbDbY3leX9xGt5GM24e1MuwO5+21+/D4/vXTqHW93fT5hlExCn+wfCrz+pQsNPRX8gG0WqYpemS&#10;UQ4SnsDASq0WII4aUrUAWeTy/4LiBwAA//8DAFBLAQItABQABgAIAAAAIQC2gziS/gAAAOEBAAAT&#10;AAAAAAAAAAAAAAAAAAAAAABbQ29udGVudF9UeXBlc10ueG1sUEsBAi0AFAAGAAgAAAAhADj9If/W&#10;AAAAlAEAAAsAAAAAAAAAAAAAAAAALwEAAF9yZWxzLy5yZWxzUEsBAi0AFAAGAAgAAAAhAIYVIk5k&#10;AwAAvQgAAA4AAAAAAAAAAAAAAAAALgIAAGRycy9lMm9Eb2MueG1sUEsBAi0AFAAGAAgAAAAhAL+T&#10;f4zfAAAACQEAAA8AAAAAAAAAAAAAAAAAvgUAAGRycy9kb3ducmV2LnhtbFBLBQYAAAAABAAEAPMA&#10;AADKBgAAAAA=&#10;">
              <v:line id="Line 2" o:spid="_x0000_s1027" style="position:absolute;visibility:visible;mso-wrap-style:square" from="1699,3060" to="10519,3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FFc8AAAADaAAAADwAAAGRycy9kb3ducmV2LnhtbESPQYvCMBSE74L/ITxhb5q6ByvVKEUQ&#10;Vk9WBa+P5tkWm5fSRFP//WZhweMwM98w6+1gWvGi3jWWFcxnCQji0uqGKwXXy366BOE8ssbWMil4&#10;k4PtZjxaY6Zt4IJeZ1+JCGGXoYLa+y6T0pU1GXQz2xFH7257gz7KvpK6xxDhppXfSbKQBhuOCzV2&#10;tKupfJyfRsEtD7f54ZIHv0+LU9idBnNMC6W+JkO+AuFp8J/wf/tHK0jh70q8AXLz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VRRXPAAAAA2gAAAA8AAAAAAAAAAAAAAAAA&#10;oQIAAGRycy9kb3ducmV2LnhtbFBLBQYAAAAABAAEAPkAAACOAwAAAAA=&#10;" strokecolor="#036"/>
              <v:rect id="Rectangle 3" o:spid="_x0000_s1028" style="position:absolute;left:9619;top:3060;width:900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0T88UA&#10;AADaAAAADwAAAGRycy9kb3ducmV2LnhtbESPQWvCQBSE7wX/w/IKXopu7EFqmo2IEigFi01U8PbI&#10;viah2bchu5r033eFQo/DzHzDJOvRtOJGvWssK1jMIxDEpdUNVwqORTZ7AeE8ssbWMin4IQfrdPKQ&#10;YKztwJ90y30lAoRdjApq77tYSlfWZNDNbUccvC/bG/RB9pXUPQ4Bblr5HEVLabDhsFBjR9uayu/8&#10;ahQU2ftl+Fgt95fm6bQ7VNn+nG+0UtPHcfMKwtPo/8N/7TetYAX3K+EG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bRPzxQAAANoAAAAPAAAAAAAAAAAAAAAAAJgCAABkcnMv&#10;ZG93bnJldi54bWxQSwUGAAAAAAQABAD1AAAAigMAAAAA&#10;" fillcolor="#036" stroked="f"/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474A8"/>
    <w:multiLevelType w:val="hybridMultilevel"/>
    <w:tmpl w:val="49EC645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99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4c9fff,#e6f1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E17"/>
    <w:rsid w:val="00007FAC"/>
    <w:rsid w:val="0004450E"/>
    <w:rsid w:val="00050AFA"/>
    <w:rsid w:val="00054AD2"/>
    <w:rsid w:val="00063FD1"/>
    <w:rsid w:val="00074CE5"/>
    <w:rsid w:val="00081AE2"/>
    <w:rsid w:val="0008522B"/>
    <w:rsid w:val="000949ED"/>
    <w:rsid w:val="000A68AB"/>
    <w:rsid w:val="000B28C1"/>
    <w:rsid w:val="000C3C2B"/>
    <w:rsid w:val="000F7F4A"/>
    <w:rsid w:val="00111700"/>
    <w:rsid w:val="00123E98"/>
    <w:rsid w:val="00127921"/>
    <w:rsid w:val="00152E06"/>
    <w:rsid w:val="00176A41"/>
    <w:rsid w:val="001B0C85"/>
    <w:rsid w:val="001C7E17"/>
    <w:rsid w:val="001D0FD5"/>
    <w:rsid w:val="001E05D0"/>
    <w:rsid w:val="00205FBB"/>
    <w:rsid w:val="00214FBB"/>
    <w:rsid w:val="00216B8D"/>
    <w:rsid w:val="0024092C"/>
    <w:rsid w:val="00241071"/>
    <w:rsid w:val="002461B1"/>
    <w:rsid w:val="00267E85"/>
    <w:rsid w:val="002862F5"/>
    <w:rsid w:val="00296331"/>
    <w:rsid w:val="002A2A97"/>
    <w:rsid w:val="002B157B"/>
    <w:rsid w:val="002B2F2F"/>
    <w:rsid w:val="002B7D03"/>
    <w:rsid w:val="002C15B8"/>
    <w:rsid w:val="002C4B32"/>
    <w:rsid w:val="002E046E"/>
    <w:rsid w:val="00300DD0"/>
    <w:rsid w:val="00311805"/>
    <w:rsid w:val="00316198"/>
    <w:rsid w:val="00330C4B"/>
    <w:rsid w:val="003405CD"/>
    <w:rsid w:val="0037602F"/>
    <w:rsid w:val="003846C3"/>
    <w:rsid w:val="00394866"/>
    <w:rsid w:val="003F4ECF"/>
    <w:rsid w:val="004160E3"/>
    <w:rsid w:val="00423446"/>
    <w:rsid w:val="0044078D"/>
    <w:rsid w:val="00452743"/>
    <w:rsid w:val="00466C41"/>
    <w:rsid w:val="00470243"/>
    <w:rsid w:val="0049208A"/>
    <w:rsid w:val="004A07D2"/>
    <w:rsid w:val="004A1FF3"/>
    <w:rsid w:val="004A546F"/>
    <w:rsid w:val="004C1A10"/>
    <w:rsid w:val="004D09EB"/>
    <w:rsid w:val="004D2152"/>
    <w:rsid w:val="004D4535"/>
    <w:rsid w:val="004E52B9"/>
    <w:rsid w:val="004E5853"/>
    <w:rsid w:val="004F7325"/>
    <w:rsid w:val="00511B03"/>
    <w:rsid w:val="00522C78"/>
    <w:rsid w:val="00542B6E"/>
    <w:rsid w:val="00562937"/>
    <w:rsid w:val="005702ED"/>
    <w:rsid w:val="00570888"/>
    <w:rsid w:val="0059490D"/>
    <w:rsid w:val="005D7689"/>
    <w:rsid w:val="00610425"/>
    <w:rsid w:val="006346BE"/>
    <w:rsid w:val="00634DC9"/>
    <w:rsid w:val="006547ED"/>
    <w:rsid w:val="006600C2"/>
    <w:rsid w:val="00661AEB"/>
    <w:rsid w:val="00674881"/>
    <w:rsid w:val="00684638"/>
    <w:rsid w:val="006A63B2"/>
    <w:rsid w:val="006E35D9"/>
    <w:rsid w:val="006E3B6A"/>
    <w:rsid w:val="006F594E"/>
    <w:rsid w:val="00726A36"/>
    <w:rsid w:val="0075238E"/>
    <w:rsid w:val="0076297F"/>
    <w:rsid w:val="00772913"/>
    <w:rsid w:val="00780280"/>
    <w:rsid w:val="0078087A"/>
    <w:rsid w:val="007932C3"/>
    <w:rsid w:val="007B678C"/>
    <w:rsid w:val="007D1B38"/>
    <w:rsid w:val="007D4A2F"/>
    <w:rsid w:val="007D6228"/>
    <w:rsid w:val="007F4607"/>
    <w:rsid w:val="008046CC"/>
    <w:rsid w:val="00822E75"/>
    <w:rsid w:val="008740C0"/>
    <w:rsid w:val="00897191"/>
    <w:rsid w:val="008B0D1A"/>
    <w:rsid w:val="008C26F2"/>
    <w:rsid w:val="00902FC4"/>
    <w:rsid w:val="009169A6"/>
    <w:rsid w:val="009224C9"/>
    <w:rsid w:val="0092758F"/>
    <w:rsid w:val="00962221"/>
    <w:rsid w:val="0097286C"/>
    <w:rsid w:val="00981AFD"/>
    <w:rsid w:val="009A3EF2"/>
    <w:rsid w:val="009B5C80"/>
    <w:rsid w:val="009C5412"/>
    <w:rsid w:val="009E144C"/>
    <w:rsid w:val="009E6CEE"/>
    <w:rsid w:val="009F37D5"/>
    <w:rsid w:val="00A01B89"/>
    <w:rsid w:val="00A1274A"/>
    <w:rsid w:val="00A20991"/>
    <w:rsid w:val="00A2637A"/>
    <w:rsid w:val="00A50AD4"/>
    <w:rsid w:val="00A558E9"/>
    <w:rsid w:val="00A87ACA"/>
    <w:rsid w:val="00AA3D4C"/>
    <w:rsid w:val="00AC543A"/>
    <w:rsid w:val="00AD5E38"/>
    <w:rsid w:val="00AF438B"/>
    <w:rsid w:val="00B069BB"/>
    <w:rsid w:val="00B41617"/>
    <w:rsid w:val="00B5198C"/>
    <w:rsid w:val="00B70CB4"/>
    <w:rsid w:val="00B74255"/>
    <w:rsid w:val="00B80925"/>
    <w:rsid w:val="00BB02B8"/>
    <w:rsid w:val="00BC239B"/>
    <w:rsid w:val="00BC2BE6"/>
    <w:rsid w:val="00BE4295"/>
    <w:rsid w:val="00BE5190"/>
    <w:rsid w:val="00C0300D"/>
    <w:rsid w:val="00C211B0"/>
    <w:rsid w:val="00C3179F"/>
    <w:rsid w:val="00C31F86"/>
    <w:rsid w:val="00C448FA"/>
    <w:rsid w:val="00C53010"/>
    <w:rsid w:val="00C91772"/>
    <w:rsid w:val="00C963D6"/>
    <w:rsid w:val="00C967F7"/>
    <w:rsid w:val="00C97B37"/>
    <w:rsid w:val="00CA328D"/>
    <w:rsid w:val="00CA36D4"/>
    <w:rsid w:val="00CD04A7"/>
    <w:rsid w:val="00CD51C1"/>
    <w:rsid w:val="00CE277C"/>
    <w:rsid w:val="00CE4D12"/>
    <w:rsid w:val="00CF02D9"/>
    <w:rsid w:val="00D121BA"/>
    <w:rsid w:val="00D12EB6"/>
    <w:rsid w:val="00D13633"/>
    <w:rsid w:val="00D31DBB"/>
    <w:rsid w:val="00D320B9"/>
    <w:rsid w:val="00D453ED"/>
    <w:rsid w:val="00D54D83"/>
    <w:rsid w:val="00D573B0"/>
    <w:rsid w:val="00D65CE0"/>
    <w:rsid w:val="00D779A5"/>
    <w:rsid w:val="00D8321A"/>
    <w:rsid w:val="00D962A4"/>
    <w:rsid w:val="00DB6B8F"/>
    <w:rsid w:val="00DC6C77"/>
    <w:rsid w:val="00DD69EA"/>
    <w:rsid w:val="00DE1B5F"/>
    <w:rsid w:val="00E4381B"/>
    <w:rsid w:val="00E51682"/>
    <w:rsid w:val="00E53FE3"/>
    <w:rsid w:val="00E81F6B"/>
    <w:rsid w:val="00E83417"/>
    <w:rsid w:val="00E95C4A"/>
    <w:rsid w:val="00EA7C2E"/>
    <w:rsid w:val="00EC4E3A"/>
    <w:rsid w:val="00ED6348"/>
    <w:rsid w:val="00EF5503"/>
    <w:rsid w:val="00EF648A"/>
    <w:rsid w:val="00F1073D"/>
    <w:rsid w:val="00F33E37"/>
    <w:rsid w:val="00F35179"/>
    <w:rsid w:val="00F44284"/>
    <w:rsid w:val="00F45EE3"/>
    <w:rsid w:val="00F52908"/>
    <w:rsid w:val="00F540CA"/>
    <w:rsid w:val="00F54F95"/>
    <w:rsid w:val="00F54FD1"/>
    <w:rsid w:val="00F77493"/>
    <w:rsid w:val="00F948DE"/>
    <w:rsid w:val="00FB705F"/>
    <w:rsid w:val="00FD4A60"/>
    <w:rsid w:val="00FF1B2B"/>
    <w:rsid w:val="00FF2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4c9fff,#e6f1ff"/>
    </o:shapedefaults>
    <o:shapelayout v:ext="edit">
      <o:idmap v:ext="edit" data="1"/>
    </o:shapelayout>
  </w:shapeDefaults>
  <w:decimalSymbol w:val=","/>
  <w:listSeparator w:val=","/>
  <w14:docId w14:val="41C1F55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/>
    <w:lsdException w:name="Note Level 9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rsid w:val="00A66C96"/>
    <w:rPr>
      <w:sz w:val="20"/>
      <w:szCs w:val="20"/>
    </w:rPr>
  </w:style>
  <w:style w:type="character" w:styleId="Refdenotaalpie">
    <w:name w:val="footnote reference"/>
    <w:uiPriority w:val="99"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CA5CD1"/>
    <w:rPr>
      <w:color w:val="0000FF"/>
      <w:u w:val="single"/>
    </w:rPr>
  </w:style>
  <w:style w:type="paragraph" w:customStyle="1" w:styleId="Sinespaciado1">
    <w:name w:val="Sin espaciado1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emf"/><Relationship Id="rId12" Type="http://schemas.openxmlformats.org/officeDocument/2006/relationships/image" Target="media/image5.emf"/><Relationship Id="rId13" Type="http://schemas.openxmlformats.org/officeDocument/2006/relationships/image" Target="media/image6.emf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emf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7C929C9-79E5-6F4D-A694-F1A83014E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516</Words>
  <Characters>2839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Jubileo</Company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Usuario de Microsoft Office</cp:lastModifiedBy>
  <cp:revision>4</cp:revision>
  <cp:lastPrinted>2017-04-21T17:05:00Z</cp:lastPrinted>
  <dcterms:created xsi:type="dcterms:W3CDTF">2017-04-21T18:37:00Z</dcterms:created>
  <dcterms:modified xsi:type="dcterms:W3CDTF">2017-04-21T20:37:00Z</dcterms:modified>
</cp:coreProperties>
</file>