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8DA13" w14:textId="70FCE3DF" w:rsidR="00C94431" w:rsidRPr="00C94431" w:rsidRDefault="00C94431" w:rsidP="00C94431">
      <w:pPr>
        <w:ind w:left="284" w:right="276"/>
        <w:jc w:val="center"/>
        <w:rPr>
          <w:rFonts w:ascii="Akzidenz-Grotesk BQ" w:hAnsi="Akzidenz-Grotesk BQ" w:cs="Times New Roman"/>
          <w:color w:val="682804"/>
          <w:sz w:val="30"/>
          <w:szCs w:val="30"/>
          <w:lang w:eastAsia="es-ES_tradnl"/>
        </w:rPr>
      </w:pPr>
      <w:r w:rsidRPr="00C94431">
        <w:rPr>
          <w:rFonts w:ascii="Akzidenz-Grotesk BQ" w:hAnsi="Akzidenz-Grotesk BQ" w:cs="Times New Roman"/>
          <w:color w:val="682804"/>
          <w:sz w:val="30"/>
          <w:szCs w:val="30"/>
          <w:lang w:eastAsia="es-ES_tradnl"/>
        </w:rPr>
        <w:t>Tres ciudades cuentan c</w:t>
      </w:r>
      <w:r>
        <w:rPr>
          <w:rFonts w:ascii="Akzidenz-Grotesk BQ" w:hAnsi="Akzidenz-Grotesk BQ" w:cs="Times New Roman"/>
          <w:color w:val="682804"/>
          <w:sz w:val="30"/>
          <w:szCs w:val="30"/>
          <w:lang w:eastAsia="es-ES_tradnl"/>
        </w:rPr>
        <w:t xml:space="preserve">on sistema de transporte masivo </w:t>
      </w:r>
      <w:r w:rsidRPr="00C94431">
        <w:rPr>
          <w:rFonts w:ascii="Akzidenz-Grotesk BQ" w:hAnsi="Akzidenz-Grotesk BQ" w:cs="Times New Roman"/>
          <w:color w:val="682804"/>
          <w:sz w:val="30"/>
          <w:szCs w:val="30"/>
          <w:lang w:eastAsia="es-ES_tradnl"/>
        </w:rPr>
        <w:t>y avanzan en un mejor acceso al servicio</w:t>
      </w:r>
    </w:p>
    <w:p w14:paraId="6A6F1643" w14:textId="77777777" w:rsidR="00E3093C" w:rsidRDefault="00F05DBF" w:rsidP="00C16800">
      <w:r w:rsidRPr="00F05DBF">
        <w:rPr>
          <w:noProof/>
          <w:lang w:eastAsia="es-ES_tradnl"/>
        </w:rPr>
        <w:drawing>
          <wp:inline distT="0" distB="0" distL="0" distR="0" wp14:anchorId="78A020DD" wp14:editId="043E0115">
            <wp:extent cx="5486597" cy="50336"/>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772019" cy="117175"/>
                    </a:xfrm>
                    <a:prstGeom prst="rect">
                      <a:avLst/>
                    </a:prstGeom>
                  </pic:spPr>
                </pic:pic>
              </a:graphicData>
            </a:graphic>
          </wp:inline>
        </w:drawing>
      </w:r>
    </w:p>
    <w:p w14:paraId="4357D9DE" w14:textId="77777777" w:rsidR="00990701" w:rsidRPr="00DD01DF" w:rsidRDefault="00990701" w:rsidP="00C16800">
      <w:pPr>
        <w:rPr>
          <w:color w:val="385623" w:themeColor="accent6" w:themeShade="80"/>
        </w:rPr>
      </w:pPr>
    </w:p>
    <w:p w14:paraId="2E1536E6" w14:textId="108670E2" w:rsidR="00C94431" w:rsidRPr="00C94431" w:rsidRDefault="00C94431" w:rsidP="00C94431">
      <w:pPr>
        <w:pStyle w:val="Prrafodelista"/>
        <w:numPr>
          <w:ilvl w:val="0"/>
          <w:numId w:val="2"/>
        </w:numPr>
        <w:spacing w:after="160" w:line="259" w:lineRule="auto"/>
        <w:jc w:val="both"/>
        <w:rPr>
          <w:rFonts w:ascii="Helvetica" w:hAnsi="Helvetica"/>
          <w:color w:val="682804"/>
          <w:sz w:val="20"/>
          <w:szCs w:val="20"/>
        </w:rPr>
      </w:pPr>
      <w:r w:rsidRPr="00C94431">
        <w:rPr>
          <w:rFonts w:ascii="Helvetica" w:hAnsi="Helvetica"/>
          <w:color w:val="682804"/>
          <w:sz w:val="20"/>
          <w:szCs w:val="20"/>
        </w:rPr>
        <w:t>La movilidad urbana implica la planificación urbana vial, los servicios de transporte público y las iniciativas del transporte sustentable</w:t>
      </w:r>
      <w:r w:rsidR="00C210EA">
        <w:rPr>
          <w:rFonts w:ascii="Helvetica" w:hAnsi="Helvetica"/>
          <w:color w:val="682804"/>
          <w:sz w:val="20"/>
          <w:szCs w:val="20"/>
        </w:rPr>
        <w:t>.</w:t>
      </w:r>
    </w:p>
    <w:p w14:paraId="7EE7EE57" w14:textId="10A53CC9" w:rsidR="00C94431" w:rsidRDefault="00C94431" w:rsidP="00C94431">
      <w:pPr>
        <w:pStyle w:val="Prrafodelista"/>
        <w:numPr>
          <w:ilvl w:val="0"/>
          <w:numId w:val="2"/>
        </w:numPr>
        <w:spacing w:after="160" w:line="259" w:lineRule="auto"/>
        <w:jc w:val="both"/>
        <w:rPr>
          <w:rFonts w:ascii="Helvetica" w:hAnsi="Helvetica"/>
          <w:color w:val="682804"/>
          <w:sz w:val="20"/>
          <w:szCs w:val="20"/>
        </w:rPr>
      </w:pPr>
      <w:r w:rsidRPr="00C94431">
        <w:rPr>
          <w:rFonts w:ascii="Helvetica" w:hAnsi="Helvetica"/>
          <w:color w:val="682804"/>
          <w:sz w:val="20"/>
          <w:szCs w:val="20"/>
        </w:rPr>
        <w:t>En el país, 92,8% del total del parque automotor está registrado como vehículos de transporte particular, 5,5% como transporte público y 1,8% como transporte oficial</w:t>
      </w:r>
      <w:r w:rsidR="00C210EA">
        <w:rPr>
          <w:rFonts w:ascii="Helvetica" w:hAnsi="Helvetica"/>
          <w:color w:val="682804"/>
          <w:sz w:val="20"/>
          <w:szCs w:val="20"/>
        </w:rPr>
        <w:t>.</w:t>
      </w:r>
    </w:p>
    <w:p w14:paraId="562DCB7F" w14:textId="68EB8CE8" w:rsidR="00FF26F6" w:rsidRPr="00C94431" w:rsidRDefault="00FF26F6" w:rsidP="00C94431">
      <w:pPr>
        <w:pStyle w:val="Prrafodelista"/>
        <w:numPr>
          <w:ilvl w:val="0"/>
          <w:numId w:val="2"/>
        </w:numPr>
        <w:spacing w:after="160" w:line="259" w:lineRule="auto"/>
        <w:jc w:val="both"/>
        <w:rPr>
          <w:rFonts w:ascii="Helvetica" w:hAnsi="Helvetica"/>
          <w:color w:val="682804"/>
          <w:sz w:val="20"/>
          <w:szCs w:val="20"/>
        </w:rPr>
      </w:pPr>
      <w:r>
        <w:rPr>
          <w:rFonts w:ascii="Helvetica" w:hAnsi="Helvetica"/>
          <w:color w:val="682804"/>
          <w:sz w:val="20"/>
          <w:szCs w:val="20"/>
        </w:rPr>
        <w:t xml:space="preserve">Un tema delicado </w:t>
      </w:r>
      <w:r w:rsidR="00C210EA">
        <w:rPr>
          <w:rFonts w:ascii="Helvetica" w:hAnsi="Helvetica"/>
          <w:color w:val="682804"/>
          <w:sz w:val="20"/>
          <w:szCs w:val="20"/>
        </w:rPr>
        <w:t>son</w:t>
      </w:r>
      <w:r>
        <w:rPr>
          <w:rFonts w:ascii="Helvetica" w:hAnsi="Helvetica"/>
          <w:color w:val="682804"/>
          <w:sz w:val="20"/>
          <w:szCs w:val="20"/>
        </w:rPr>
        <w:t xml:space="preserve"> los autos “chutos”</w:t>
      </w:r>
      <w:r w:rsidR="00C210EA">
        <w:rPr>
          <w:rFonts w:ascii="Helvetica" w:hAnsi="Helvetica"/>
          <w:color w:val="682804"/>
          <w:sz w:val="20"/>
          <w:szCs w:val="20"/>
        </w:rPr>
        <w:t xml:space="preserve"> que no paga</w:t>
      </w:r>
      <w:r>
        <w:rPr>
          <w:rFonts w:ascii="Helvetica" w:hAnsi="Helvetica"/>
          <w:color w:val="682804"/>
          <w:sz w:val="20"/>
          <w:szCs w:val="20"/>
        </w:rPr>
        <w:t>n aranceles nacionales ni impuestos municipales.</w:t>
      </w:r>
    </w:p>
    <w:p w14:paraId="46EDFE22" w14:textId="77777777" w:rsidR="00F84ABF" w:rsidRPr="00F84ABF" w:rsidRDefault="00F84ABF" w:rsidP="00F84ABF">
      <w:pPr>
        <w:pStyle w:val="Prrafodelista"/>
        <w:jc w:val="both"/>
        <w:rPr>
          <w:rFonts w:ascii="Helvetica" w:hAnsi="Helvetica"/>
          <w:color w:val="682804"/>
          <w:sz w:val="20"/>
          <w:szCs w:val="20"/>
        </w:rPr>
      </w:pPr>
    </w:p>
    <w:p w14:paraId="7C9B6D62" w14:textId="0C3F8E31" w:rsidR="00C94431" w:rsidRDefault="00C94431" w:rsidP="00C94431">
      <w:pPr>
        <w:spacing w:after="120" w:line="240" w:lineRule="atLeast"/>
        <w:jc w:val="both"/>
        <w:rPr>
          <w:rFonts w:ascii="DINPro" w:hAnsi="DINPro"/>
          <w:sz w:val="20"/>
          <w:szCs w:val="20"/>
        </w:rPr>
      </w:pPr>
      <w:r w:rsidRPr="00C94431">
        <w:rPr>
          <w:rFonts w:ascii="DINPro" w:hAnsi="DINPro"/>
          <w:sz w:val="20"/>
          <w:szCs w:val="20"/>
        </w:rPr>
        <w:t xml:space="preserve">La situación del transporte en el país es un problema complejo que abarca el acceso y las condiciones en las que se presta este servicio a la ciudadanía, señala el análisis de Fundación Jubileo, en el documento sobre </w:t>
      </w:r>
      <w:r w:rsidRPr="00C210EA">
        <w:rPr>
          <w:rFonts w:ascii="DINPro" w:hAnsi="DINPro"/>
          <w:i/>
          <w:sz w:val="20"/>
          <w:szCs w:val="20"/>
        </w:rPr>
        <w:t>10 temas clave para la gestión de gobernaciones y municipios</w:t>
      </w:r>
      <w:r w:rsidRPr="00C94431">
        <w:rPr>
          <w:rFonts w:ascii="DINPro" w:hAnsi="DINPro"/>
          <w:sz w:val="20"/>
          <w:szCs w:val="20"/>
        </w:rPr>
        <w:t xml:space="preserve">, </w:t>
      </w:r>
      <w:bookmarkStart w:id="0" w:name="_GoBack"/>
      <w:bookmarkEnd w:id="0"/>
      <w:r w:rsidRPr="00C94431">
        <w:rPr>
          <w:rFonts w:ascii="DINPro" w:hAnsi="DINPro"/>
          <w:sz w:val="20"/>
          <w:szCs w:val="20"/>
        </w:rPr>
        <w:t>de cara a las elecciones del 7 de marzo.</w:t>
      </w:r>
    </w:p>
    <w:p w14:paraId="182E18B3" w14:textId="0518AE48" w:rsidR="00C94431" w:rsidRDefault="00C94431" w:rsidP="00C94431">
      <w:pPr>
        <w:spacing w:after="120" w:line="240" w:lineRule="atLeast"/>
        <w:jc w:val="both"/>
        <w:rPr>
          <w:rFonts w:ascii="DINPro" w:hAnsi="DINPro"/>
          <w:sz w:val="20"/>
          <w:szCs w:val="20"/>
        </w:rPr>
      </w:pPr>
      <w:r w:rsidRPr="00C94431">
        <w:rPr>
          <w:rFonts w:ascii="DINPro" w:hAnsi="DINPro"/>
          <w:sz w:val="20"/>
          <w:szCs w:val="20"/>
        </w:rPr>
        <w:t xml:space="preserve">La movilidad urbana implica, entre otras acciones, la planificación urbana vial, los servicios de transporte público y las iniciativas </w:t>
      </w:r>
      <w:r w:rsidR="007E4B81">
        <w:rPr>
          <w:rFonts w:ascii="DINPro" w:hAnsi="DINPro"/>
          <w:sz w:val="20"/>
          <w:szCs w:val="20"/>
        </w:rPr>
        <w:t>hacia</w:t>
      </w:r>
      <w:r w:rsidRPr="00C94431">
        <w:rPr>
          <w:rFonts w:ascii="DINPro" w:hAnsi="DINPro"/>
          <w:sz w:val="20"/>
          <w:szCs w:val="20"/>
        </w:rPr>
        <w:t xml:space="preserve"> el transporte sustentable</w:t>
      </w:r>
      <w:r w:rsidR="007E4B81">
        <w:rPr>
          <w:rFonts w:ascii="DINPro" w:hAnsi="DINPro"/>
          <w:sz w:val="20"/>
          <w:szCs w:val="20"/>
        </w:rPr>
        <w:t>,</w:t>
      </w:r>
      <w:r w:rsidRPr="00C94431">
        <w:rPr>
          <w:rFonts w:ascii="DINPro" w:hAnsi="DINPro"/>
          <w:sz w:val="20"/>
          <w:szCs w:val="20"/>
        </w:rPr>
        <w:t xml:space="preserve"> temas que están intrínsecamente articulados.</w:t>
      </w:r>
    </w:p>
    <w:p w14:paraId="58B73F6E" w14:textId="75023847" w:rsidR="00C94431" w:rsidRDefault="00C94431" w:rsidP="00C94431">
      <w:pPr>
        <w:spacing w:after="120" w:line="240" w:lineRule="atLeast"/>
        <w:jc w:val="both"/>
        <w:rPr>
          <w:rFonts w:ascii="DINPro" w:hAnsi="DINPro"/>
          <w:sz w:val="20"/>
          <w:szCs w:val="20"/>
        </w:rPr>
      </w:pPr>
      <w:r w:rsidRPr="00C94431">
        <w:rPr>
          <w:rFonts w:ascii="DINPro" w:hAnsi="DINPro"/>
          <w:sz w:val="20"/>
          <w:szCs w:val="20"/>
        </w:rPr>
        <w:t xml:space="preserve">El acceso a transporte es tan importante en la vida de las personas y en el desarrollo de las sociedades que está incorporado en los Objetivos de Desarrollo Sostenible (ODS), como compromiso de los países signatarios de las Naciones Unidas. </w:t>
      </w:r>
    </w:p>
    <w:p w14:paraId="02C0123E" w14:textId="3A45C3FB" w:rsidR="007E4B81" w:rsidRPr="007E4B81" w:rsidRDefault="007E4B81" w:rsidP="00C94431">
      <w:pPr>
        <w:spacing w:after="120" w:line="240" w:lineRule="atLeast"/>
        <w:jc w:val="both"/>
        <w:rPr>
          <w:rFonts w:ascii="DINPro" w:hAnsi="DINPro"/>
          <w:b/>
          <w:sz w:val="20"/>
          <w:szCs w:val="20"/>
        </w:rPr>
      </w:pPr>
      <w:r w:rsidRPr="007E4B81">
        <w:rPr>
          <w:rFonts w:ascii="DINPro" w:hAnsi="DINPro"/>
          <w:b/>
          <w:sz w:val="20"/>
          <w:szCs w:val="20"/>
        </w:rPr>
        <w:t>En municipios</w:t>
      </w:r>
    </w:p>
    <w:p w14:paraId="380B6AFC" w14:textId="217C4A6E" w:rsidR="00C94431" w:rsidRDefault="000511EA" w:rsidP="00C94431">
      <w:pPr>
        <w:spacing w:after="120" w:line="240" w:lineRule="atLeast"/>
        <w:jc w:val="both"/>
        <w:rPr>
          <w:rFonts w:ascii="DINPro" w:hAnsi="DINPro"/>
          <w:sz w:val="20"/>
          <w:szCs w:val="20"/>
        </w:rPr>
      </w:pPr>
      <w:r>
        <w:rPr>
          <w:rFonts w:ascii="DINPro" w:hAnsi="DINPro"/>
          <w:i/>
          <w:noProof/>
          <w:sz w:val="20"/>
          <w:szCs w:val="20"/>
          <w:lang w:eastAsia="es-ES_tradnl"/>
        </w:rPr>
        <w:drawing>
          <wp:anchor distT="0" distB="0" distL="114300" distR="114300" simplePos="0" relativeHeight="251658240" behindDoc="0" locked="0" layoutInCell="1" allowOverlap="1" wp14:anchorId="182E9C75" wp14:editId="611D5DCE">
            <wp:simplePos x="0" y="0"/>
            <wp:positionH relativeFrom="margin">
              <wp:posOffset>3086100</wp:posOffset>
            </wp:positionH>
            <wp:positionV relativeFrom="margin">
              <wp:posOffset>4140200</wp:posOffset>
            </wp:positionV>
            <wp:extent cx="2656840" cy="3025775"/>
            <wp:effectExtent l="0" t="0" r="1016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1-02-22 a las 13.03.06.png"/>
                    <pic:cNvPicPr/>
                  </pic:nvPicPr>
                  <pic:blipFill>
                    <a:blip r:embed="rId8">
                      <a:extLst>
                        <a:ext uri="{28A0092B-C50C-407E-A947-70E740481C1C}">
                          <a14:useLocalDpi xmlns:a14="http://schemas.microsoft.com/office/drawing/2010/main" val="0"/>
                        </a:ext>
                      </a:extLst>
                    </a:blip>
                    <a:stretch>
                      <a:fillRect/>
                    </a:stretch>
                  </pic:blipFill>
                  <pic:spPr>
                    <a:xfrm>
                      <a:off x="0" y="0"/>
                      <a:ext cx="2656840" cy="3025775"/>
                    </a:xfrm>
                    <a:prstGeom prst="rect">
                      <a:avLst/>
                    </a:prstGeom>
                  </pic:spPr>
                </pic:pic>
              </a:graphicData>
            </a:graphic>
            <wp14:sizeRelH relativeFrom="margin">
              <wp14:pctWidth>0</wp14:pctWidth>
            </wp14:sizeRelH>
            <wp14:sizeRelV relativeFrom="margin">
              <wp14:pctHeight>0</wp14:pctHeight>
            </wp14:sizeRelV>
          </wp:anchor>
        </w:drawing>
      </w:r>
      <w:r w:rsidR="00C94431" w:rsidRPr="00C94431">
        <w:rPr>
          <w:rFonts w:ascii="DINPro" w:hAnsi="DINPro"/>
          <w:sz w:val="20"/>
          <w:szCs w:val="20"/>
        </w:rPr>
        <w:t>Se han identificado tres aspectos que están vinculados a las tareas municipales: el acceso al transporte público, el transporte masivo y la planificación vial.</w:t>
      </w:r>
    </w:p>
    <w:p w14:paraId="5DFF703F" w14:textId="4E80EE14" w:rsidR="00C94431" w:rsidRDefault="00C94431" w:rsidP="00C94431">
      <w:pPr>
        <w:spacing w:after="120" w:line="240" w:lineRule="atLeast"/>
        <w:jc w:val="both"/>
        <w:rPr>
          <w:rFonts w:ascii="DINPro" w:hAnsi="DINPro"/>
          <w:sz w:val="20"/>
          <w:szCs w:val="20"/>
        </w:rPr>
      </w:pPr>
      <w:r w:rsidRPr="00C94431">
        <w:rPr>
          <w:rFonts w:ascii="DINPro" w:hAnsi="DINPro"/>
          <w:sz w:val="20"/>
          <w:szCs w:val="20"/>
        </w:rPr>
        <w:t>Con relación al transporte público, una forma de medir la disponibilidad del servicio ha sido trabajada desde los ODS creando un indicador que evidencia la cantidad de asientos disponibles en el transporte colectivo, en cada una de las ciudades capitales de departamento y El Alto.</w:t>
      </w:r>
    </w:p>
    <w:p w14:paraId="74426B53" w14:textId="24AB2961" w:rsidR="00C94431" w:rsidRDefault="00C94431" w:rsidP="00C94431">
      <w:pPr>
        <w:spacing w:after="120" w:line="240" w:lineRule="atLeast"/>
        <w:jc w:val="both"/>
        <w:rPr>
          <w:rFonts w:ascii="DINPro" w:hAnsi="DINPro"/>
          <w:sz w:val="20"/>
          <w:szCs w:val="20"/>
        </w:rPr>
      </w:pPr>
      <w:r w:rsidRPr="00C94431">
        <w:rPr>
          <w:rFonts w:ascii="DINPro" w:hAnsi="DINPro"/>
          <w:sz w:val="20"/>
          <w:szCs w:val="20"/>
        </w:rPr>
        <w:t>De acuerdo con ese indicador, en las ciudades de La Paz, El Alto y Oruro se tiene mayor cantidad de asientos disponibles para la población; además, son las que ya cuentan con un sistema de transporte masivo. En los dos primeros, además del teleférico, tienen transporte de buses municipales (</w:t>
      </w:r>
      <w:proofErr w:type="spellStart"/>
      <w:r w:rsidRPr="00C94431">
        <w:rPr>
          <w:rFonts w:ascii="DINPro" w:hAnsi="DINPro"/>
          <w:sz w:val="20"/>
          <w:szCs w:val="20"/>
        </w:rPr>
        <w:t>Pumakatari</w:t>
      </w:r>
      <w:proofErr w:type="spellEnd"/>
      <w:r w:rsidRPr="00C94431">
        <w:rPr>
          <w:rFonts w:ascii="DINPro" w:hAnsi="DINPro"/>
          <w:sz w:val="20"/>
          <w:szCs w:val="20"/>
        </w:rPr>
        <w:t xml:space="preserve"> y </w:t>
      </w:r>
      <w:proofErr w:type="spellStart"/>
      <w:r w:rsidRPr="00C94431">
        <w:rPr>
          <w:rFonts w:ascii="DINPro" w:hAnsi="DINPro"/>
          <w:sz w:val="20"/>
          <w:szCs w:val="20"/>
        </w:rPr>
        <w:t>Wayna</w:t>
      </w:r>
      <w:proofErr w:type="spellEnd"/>
      <w:r w:rsidRPr="00C94431">
        <w:rPr>
          <w:rFonts w:ascii="DINPro" w:hAnsi="DINPro"/>
          <w:sz w:val="20"/>
          <w:szCs w:val="20"/>
        </w:rPr>
        <w:t xml:space="preserve"> Bus).</w:t>
      </w:r>
    </w:p>
    <w:p w14:paraId="16F0CE51" w14:textId="4E4B1D96" w:rsidR="00C94431" w:rsidRDefault="00C94431" w:rsidP="00C94431">
      <w:pPr>
        <w:spacing w:after="120" w:line="240" w:lineRule="atLeast"/>
        <w:jc w:val="both"/>
        <w:rPr>
          <w:rFonts w:ascii="DINPro" w:hAnsi="DINPro"/>
          <w:sz w:val="20"/>
          <w:szCs w:val="20"/>
        </w:rPr>
      </w:pPr>
      <w:r w:rsidRPr="00C94431">
        <w:rPr>
          <w:rFonts w:ascii="DINPro" w:hAnsi="DINPro"/>
          <w:sz w:val="20"/>
          <w:szCs w:val="20"/>
        </w:rPr>
        <w:t xml:space="preserve">En cuanto al transporte masivo, este podría ser parte de proyectos intermunicipales de los tres ejes metropolitanos del país: Cochabamba, La Paz y Santa Cruz. Se han dado pasos importantes con el sistema de teleféricos y el ingreso del </w:t>
      </w:r>
      <w:proofErr w:type="spellStart"/>
      <w:r w:rsidRPr="00C94431">
        <w:rPr>
          <w:rFonts w:ascii="DINPro" w:hAnsi="DINPro"/>
          <w:sz w:val="20"/>
          <w:szCs w:val="20"/>
        </w:rPr>
        <w:t>Pumakatari</w:t>
      </w:r>
      <w:proofErr w:type="spellEnd"/>
      <w:r w:rsidRPr="00C94431">
        <w:rPr>
          <w:rFonts w:ascii="DINPro" w:hAnsi="DINPro"/>
          <w:sz w:val="20"/>
          <w:szCs w:val="20"/>
        </w:rPr>
        <w:t xml:space="preserve">. En Cochabamba, el tren metropolitano sigue en construcción, y en Santa Cruz se promueve un sistema vial exclusivo para un sistema masivo de transporte rápido. </w:t>
      </w:r>
    </w:p>
    <w:p w14:paraId="00D300D7" w14:textId="5120D27A" w:rsidR="00C94431" w:rsidRDefault="00C94431" w:rsidP="00C94431">
      <w:pPr>
        <w:spacing w:after="120" w:line="240" w:lineRule="atLeast"/>
        <w:jc w:val="both"/>
        <w:rPr>
          <w:rFonts w:ascii="DINPro" w:hAnsi="DINPro"/>
          <w:sz w:val="20"/>
          <w:szCs w:val="20"/>
        </w:rPr>
      </w:pPr>
      <w:r w:rsidRPr="00C94431">
        <w:rPr>
          <w:rFonts w:ascii="DINPro" w:hAnsi="DINPro"/>
          <w:sz w:val="20"/>
          <w:szCs w:val="20"/>
        </w:rPr>
        <w:lastRenderedPageBreak/>
        <w:t xml:space="preserve">En todos los casos, el análisis precisa que es fundamental conocer la información acerca de la sostenibilidad económica de estos proyectos y cuál es la cantidad de recursos públicos utilizados para su subvención. </w:t>
      </w:r>
    </w:p>
    <w:p w14:paraId="59BB023D" w14:textId="0E98A52C" w:rsidR="00C94431" w:rsidRDefault="00C94431" w:rsidP="00C94431">
      <w:pPr>
        <w:spacing w:after="120" w:line="240" w:lineRule="atLeast"/>
        <w:jc w:val="both"/>
        <w:rPr>
          <w:rFonts w:ascii="DINPro" w:hAnsi="DINPro"/>
          <w:sz w:val="20"/>
          <w:szCs w:val="20"/>
        </w:rPr>
      </w:pPr>
      <w:r w:rsidRPr="00C94431">
        <w:rPr>
          <w:rFonts w:ascii="DINPro" w:hAnsi="DINPro"/>
          <w:sz w:val="20"/>
          <w:szCs w:val="20"/>
        </w:rPr>
        <w:t xml:space="preserve">Sobre la planificación vial de las ciudades, se plantea que los nuevos desafíos estén vinculados al cuidado del medio ambiente. En este contexto, buscar que las unidades de transporte sean lo más amigables (no contaminantes), evaluar el impacto sobre la naturaleza de todos aquellos proyectos viales que existen en los municipios del país. Asimismo, impulsar vías que incentiven el transporte alternativo, como </w:t>
      </w:r>
      <w:proofErr w:type="spellStart"/>
      <w:r w:rsidRPr="00C94431">
        <w:rPr>
          <w:rFonts w:ascii="DINPro" w:hAnsi="DINPro"/>
          <w:sz w:val="20"/>
          <w:szCs w:val="20"/>
        </w:rPr>
        <w:t>ciclovías</w:t>
      </w:r>
      <w:proofErr w:type="spellEnd"/>
      <w:r w:rsidRPr="00C94431">
        <w:rPr>
          <w:rFonts w:ascii="DINPro" w:hAnsi="DINPro"/>
          <w:sz w:val="20"/>
          <w:szCs w:val="20"/>
        </w:rPr>
        <w:t xml:space="preserve"> y proyectos vinculados a la educación vial.</w:t>
      </w:r>
    </w:p>
    <w:p w14:paraId="0755323C" w14:textId="1F17D01A" w:rsidR="00C94431" w:rsidRDefault="00C94431" w:rsidP="00C94431">
      <w:pPr>
        <w:spacing w:after="120" w:line="240" w:lineRule="atLeast"/>
        <w:jc w:val="both"/>
        <w:rPr>
          <w:rFonts w:ascii="DINPro" w:hAnsi="DINPro"/>
          <w:sz w:val="20"/>
          <w:szCs w:val="20"/>
        </w:rPr>
      </w:pPr>
      <w:r w:rsidRPr="00C94431">
        <w:rPr>
          <w:rFonts w:ascii="DINPro" w:hAnsi="DINPro"/>
          <w:sz w:val="20"/>
          <w:szCs w:val="20"/>
        </w:rPr>
        <w:t xml:space="preserve">En el país, 92,8% del total del parque automotor está registrado como vehículos de transporte particular, en tanto que 5,5% está registrado como transporte público y 1,8% como transporte oficial. </w:t>
      </w:r>
    </w:p>
    <w:p w14:paraId="28D081F2" w14:textId="3B46DAD7" w:rsidR="00C94431" w:rsidRDefault="00C94431" w:rsidP="00C94431">
      <w:pPr>
        <w:spacing w:after="120" w:line="240" w:lineRule="atLeast"/>
        <w:jc w:val="both"/>
        <w:rPr>
          <w:rFonts w:ascii="DINPro" w:hAnsi="DINPro"/>
          <w:sz w:val="20"/>
          <w:szCs w:val="20"/>
        </w:rPr>
      </w:pPr>
      <w:r w:rsidRPr="000511EA">
        <w:rPr>
          <w:rFonts w:ascii="DINPro" w:hAnsi="DINPro"/>
          <w:sz w:val="20"/>
          <w:szCs w:val="20"/>
        </w:rPr>
        <w:t xml:space="preserve">Algunas </w:t>
      </w:r>
      <w:r w:rsidRPr="00C94431">
        <w:rPr>
          <w:rFonts w:ascii="DINPro" w:hAnsi="DINPro"/>
          <w:sz w:val="20"/>
          <w:szCs w:val="20"/>
        </w:rPr>
        <w:t xml:space="preserve">ciudades priorizan la construcción de grandes avenidas de circulación masiva para incentivar el transporte en vehículos particulares, mientras que otras incentivan el servicio público, además de la implementación de mayores posibilidades de vehículos de transporte masivo. El enfoque de desarrollo sostenible impulsa la segunda opción por encima de la primera. </w:t>
      </w:r>
    </w:p>
    <w:p w14:paraId="0D13C649" w14:textId="6CE83854" w:rsidR="007E4B81" w:rsidRPr="007E4B81" w:rsidRDefault="007E4B81" w:rsidP="00C94431">
      <w:pPr>
        <w:spacing w:after="120" w:line="240" w:lineRule="atLeast"/>
        <w:rPr>
          <w:rFonts w:ascii="DINPro" w:hAnsi="DINPro"/>
          <w:b/>
          <w:sz w:val="20"/>
          <w:szCs w:val="20"/>
        </w:rPr>
      </w:pPr>
      <w:r w:rsidRPr="007E4B81">
        <w:rPr>
          <w:rFonts w:ascii="DINPro" w:hAnsi="DINPro"/>
          <w:b/>
          <w:sz w:val="20"/>
          <w:szCs w:val="20"/>
        </w:rPr>
        <w:t>Transporte interprovincial e intermunicipal</w:t>
      </w:r>
    </w:p>
    <w:p w14:paraId="77D1B570" w14:textId="47DD76F4" w:rsidR="003D5035" w:rsidRDefault="007E4B81" w:rsidP="003D5035">
      <w:pPr>
        <w:spacing w:after="120" w:line="240" w:lineRule="atLeast"/>
        <w:jc w:val="both"/>
        <w:rPr>
          <w:rFonts w:ascii="DINPro" w:hAnsi="DINPro" w:cs="Times New Roman"/>
          <w:sz w:val="20"/>
          <w:szCs w:val="20"/>
          <w:lang w:eastAsia="es-ES_tradnl"/>
        </w:rPr>
      </w:pPr>
      <w:r w:rsidRPr="006702AB">
        <w:rPr>
          <w:rFonts w:ascii="DINPro" w:hAnsi="DINPro" w:cs="Times New Roman"/>
          <w:sz w:val="20"/>
          <w:szCs w:val="20"/>
          <w:lang w:eastAsia="es-ES_tradnl"/>
        </w:rPr>
        <w:t>El transporte interprovincial e intermunicipal es una de las competencias de las gobernaciones.</w:t>
      </w:r>
      <w:r w:rsidR="006702AB" w:rsidRPr="006702AB">
        <w:rPr>
          <w:rFonts w:ascii="DINPro" w:hAnsi="DINPro" w:cs="Times New Roman"/>
          <w:sz w:val="20"/>
          <w:szCs w:val="20"/>
          <w:lang w:eastAsia="es-ES_tradnl"/>
        </w:rPr>
        <w:t xml:space="preserve"> </w:t>
      </w:r>
      <w:r w:rsidRPr="006702AB">
        <w:rPr>
          <w:rFonts w:ascii="DINPro" w:hAnsi="DINPro" w:cs="Times New Roman"/>
          <w:sz w:val="20"/>
          <w:szCs w:val="20"/>
          <w:lang w:eastAsia="es-ES_tradnl"/>
        </w:rPr>
        <w:t xml:space="preserve">La interacción entre los municipios </w:t>
      </w:r>
      <w:r w:rsidR="003D5035">
        <w:rPr>
          <w:rFonts w:ascii="DINPro" w:hAnsi="DINPro" w:cs="Times New Roman"/>
          <w:sz w:val="20"/>
          <w:szCs w:val="20"/>
          <w:lang w:eastAsia="es-ES_tradnl"/>
        </w:rPr>
        <w:t>y entre las provincias es necesaria para</w:t>
      </w:r>
      <w:r w:rsidRPr="006702AB">
        <w:rPr>
          <w:rFonts w:ascii="DINPro" w:hAnsi="DINPro" w:cs="Times New Roman"/>
          <w:sz w:val="20"/>
          <w:szCs w:val="20"/>
          <w:lang w:eastAsia="es-ES_tradnl"/>
        </w:rPr>
        <w:t xml:space="preserve"> garantizar mejores vías de circulación </w:t>
      </w:r>
      <w:r w:rsidR="003D5035">
        <w:rPr>
          <w:rFonts w:ascii="DINPro" w:hAnsi="DINPro" w:cs="Times New Roman"/>
          <w:sz w:val="20"/>
          <w:szCs w:val="20"/>
          <w:lang w:eastAsia="es-ES_tradnl"/>
        </w:rPr>
        <w:t>y mejor servicio para el</w:t>
      </w:r>
      <w:r w:rsidRPr="006702AB">
        <w:rPr>
          <w:rFonts w:ascii="DINPro" w:hAnsi="DINPro" w:cs="Times New Roman"/>
          <w:sz w:val="20"/>
          <w:szCs w:val="20"/>
          <w:lang w:eastAsia="es-ES_tradnl"/>
        </w:rPr>
        <w:t xml:space="preserve"> traslado </w:t>
      </w:r>
      <w:r w:rsidR="003D5035">
        <w:rPr>
          <w:rFonts w:ascii="DINPro" w:hAnsi="DINPro" w:cs="Times New Roman"/>
          <w:sz w:val="20"/>
          <w:szCs w:val="20"/>
          <w:lang w:eastAsia="es-ES_tradnl"/>
        </w:rPr>
        <w:t xml:space="preserve">y tránsito </w:t>
      </w:r>
      <w:r w:rsidRPr="006702AB">
        <w:rPr>
          <w:rFonts w:ascii="DINPro" w:hAnsi="DINPro" w:cs="Times New Roman"/>
          <w:sz w:val="20"/>
          <w:szCs w:val="20"/>
          <w:lang w:eastAsia="es-ES_tradnl"/>
        </w:rPr>
        <w:t>de personas, productos y mercancías. </w:t>
      </w:r>
    </w:p>
    <w:p w14:paraId="07AFBA2B" w14:textId="5B7F43D7" w:rsidR="007E4B81" w:rsidRPr="007E4B81" w:rsidRDefault="007E4B81" w:rsidP="003D5035">
      <w:pPr>
        <w:spacing w:after="120" w:line="240" w:lineRule="atLeast"/>
        <w:jc w:val="both"/>
        <w:rPr>
          <w:rFonts w:ascii="DINPro" w:hAnsi="DINPro" w:cs="Times New Roman"/>
          <w:sz w:val="20"/>
          <w:szCs w:val="20"/>
          <w:lang w:eastAsia="es-ES_tradnl"/>
        </w:rPr>
      </w:pPr>
      <w:r w:rsidRPr="007E4B81">
        <w:rPr>
          <w:rFonts w:ascii="DINPro" w:hAnsi="DINPro" w:cs="Times New Roman"/>
          <w:sz w:val="20"/>
          <w:szCs w:val="20"/>
          <w:lang w:eastAsia="es-ES_tradnl"/>
        </w:rPr>
        <w:t>En el ámbito de</w:t>
      </w:r>
      <w:r w:rsidR="003D5035">
        <w:rPr>
          <w:rFonts w:ascii="DINPro" w:hAnsi="DINPro" w:cs="Times New Roman"/>
          <w:sz w:val="20"/>
          <w:szCs w:val="20"/>
          <w:lang w:eastAsia="es-ES_tradnl"/>
        </w:rPr>
        <w:t xml:space="preserve"> los territorios metropolitanos, como el caso de </w:t>
      </w:r>
      <w:r w:rsidRPr="007E4B81">
        <w:rPr>
          <w:rFonts w:ascii="DINPro" w:hAnsi="DINPro" w:cs="Times New Roman"/>
          <w:sz w:val="20"/>
          <w:szCs w:val="20"/>
          <w:lang w:eastAsia="es-ES_tradnl"/>
        </w:rPr>
        <w:t>Santa Cruz, Cochabamba y La Paz</w:t>
      </w:r>
      <w:r w:rsidR="003D5035">
        <w:rPr>
          <w:rFonts w:ascii="DINPro" w:hAnsi="DINPro" w:cs="Times New Roman"/>
          <w:sz w:val="20"/>
          <w:szCs w:val="20"/>
          <w:lang w:eastAsia="es-ES_tradnl"/>
        </w:rPr>
        <w:t>,</w:t>
      </w:r>
      <w:r w:rsidRPr="007E4B81">
        <w:rPr>
          <w:rFonts w:ascii="DINPro" w:hAnsi="DINPro" w:cs="Times New Roman"/>
          <w:sz w:val="20"/>
          <w:szCs w:val="20"/>
          <w:lang w:eastAsia="es-ES_tradnl"/>
        </w:rPr>
        <w:t xml:space="preserve"> son las gobernaciones las que regulan las tarifa</w:t>
      </w:r>
      <w:r w:rsidR="003D5035">
        <w:rPr>
          <w:rFonts w:ascii="DINPro" w:hAnsi="DINPro" w:cs="Times New Roman"/>
          <w:sz w:val="20"/>
          <w:szCs w:val="20"/>
          <w:lang w:eastAsia="es-ES_tradnl"/>
        </w:rPr>
        <w:t>s de transporte intermunicipal.</w:t>
      </w:r>
    </w:p>
    <w:p w14:paraId="7B85A795" w14:textId="7BE0C4C3" w:rsidR="007E4B81" w:rsidRPr="006702AB" w:rsidRDefault="007E4B81" w:rsidP="003D5035">
      <w:pPr>
        <w:spacing w:after="120" w:line="240" w:lineRule="atLeast"/>
        <w:jc w:val="both"/>
        <w:rPr>
          <w:rFonts w:ascii="DINPro" w:hAnsi="DINPro" w:cs="Times New Roman"/>
          <w:sz w:val="20"/>
          <w:szCs w:val="20"/>
          <w:lang w:eastAsia="es-ES_tradnl"/>
        </w:rPr>
      </w:pPr>
      <w:r w:rsidRPr="007E4B81">
        <w:rPr>
          <w:rFonts w:ascii="DINPro" w:hAnsi="DINPro" w:cs="Times New Roman"/>
          <w:sz w:val="20"/>
          <w:szCs w:val="20"/>
          <w:lang w:eastAsia="es-ES_tradnl"/>
        </w:rPr>
        <w:t>Un pr</w:t>
      </w:r>
      <w:r w:rsidR="003D5035">
        <w:rPr>
          <w:rFonts w:ascii="DINPro" w:hAnsi="DINPro" w:cs="Times New Roman"/>
          <w:sz w:val="20"/>
          <w:szCs w:val="20"/>
          <w:lang w:eastAsia="es-ES_tradnl"/>
        </w:rPr>
        <w:t xml:space="preserve">oblema paralelo, pero que no </w:t>
      </w:r>
      <w:r w:rsidRPr="007E4B81">
        <w:rPr>
          <w:rFonts w:ascii="DINPro" w:hAnsi="DINPro" w:cs="Times New Roman"/>
          <w:sz w:val="20"/>
          <w:szCs w:val="20"/>
          <w:lang w:eastAsia="es-ES_tradnl"/>
        </w:rPr>
        <w:t>está bajo las competencias municipales o departamentales, es el vinculado a los vehículos ilegales (chutos); los cuales circulan en los municipios del área rural sin placas de identificación y sin ningún tipo de registro. Es necesaria una planificación entre el Gobierno central y las autonomías municipales que resuelva este problema, ligado además a temas de seguridad ciudadana</w:t>
      </w:r>
      <w:r w:rsidR="00B14002">
        <w:rPr>
          <w:rFonts w:ascii="DINPro" w:hAnsi="DINPro" w:cs="Times New Roman"/>
          <w:sz w:val="20"/>
          <w:szCs w:val="20"/>
          <w:lang w:eastAsia="es-ES_tradnl"/>
        </w:rPr>
        <w:t xml:space="preserve"> y</w:t>
      </w:r>
      <w:r w:rsidRPr="007E4B81">
        <w:rPr>
          <w:rFonts w:ascii="DINPro" w:hAnsi="DINPro" w:cs="Times New Roman"/>
          <w:sz w:val="20"/>
          <w:szCs w:val="20"/>
          <w:lang w:eastAsia="es-ES_tradnl"/>
        </w:rPr>
        <w:t xml:space="preserve"> g</w:t>
      </w:r>
      <w:r w:rsidR="00B14002">
        <w:rPr>
          <w:rFonts w:ascii="DINPro" w:hAnsi="DINPro" w:cs="Times New Roman"/>
          <w:sz w:val="20"/>
          <w:szCs w:val="20"/>
          <w:lang w:eastAsia="es-ES_tradnl"/>
        </w:rPr>
        <w:t>eneración de recursos públicos, entre</w:t>
      </w:r>
      <w:r w:rsidRPr="007E4B81">
        <w:rPr>
          <w:rFonts w:ascii="DINPro" w:hAnsi="DINPro" w:cs="Times New Roman"/>
          <w:sz w:val="20"/>
          <w:szCs w:val="20"/>
          <w:lang w:eastAsia="es-ES_tradnl"/>
        </w:rPr>
        <w:t xml:space="preserve"> otros.</w:t>
      </w:r>
      <w:r w:rsidRPr="006702AB">
        <w:rPr>
          <w:rFonts w:ascii="DINPro" w:hAnsi="DINPro" w:cs="Times New Roman"/>
          <w:sz w:val="20"/>
          <w:szCs w:val="20"/>
          <w:lang w:eastAsia="es-ES_tradnl"/>
        </w:rPr>
        <w:t> </w:t>
      </w:r>
    </w:p>
    <w:p w14:paraId="2079A025" w14:textId="3447E75E" w:rsidR="000038C3" w:rsidRDefault="006E190D" w:rsidP="000038C3">
      <w:pPr>
        <w:spacing w:after="120" w:line="240" w:lineRule="atLeast"/>
        <w:jc w:val="both"/>
        <w:rPr>
          <w:rFonts w:ascii="DINPro" w:hAnsi="DINPro"/>
          <w:sz w:val="20"/>
          <w:szCs w:val="20"/>
        </w:rPr>
      </w:pPr>
      <w:r>
        <w:rPr>
          <w:rFonts w:ascii="DINPro" w:hAnsi="DINPro"/>
          <w:sz w:val="20"/>
          <w:szCs w:val="20"/>
        </w:rPr>
        <w:t xml:space="preserve">De acuerdo con sus competencias, los </w:t>
      </w:r>
      <w:r w:rsidR="000038C3" w:rsidRPr="00C94431">
        <w:rPr>
          <w:rFonts w:ascii="DINPro" w:hAnsi="DINPro"/>
          <w:sz w:val="20"/>
          <w:szCs w:val="20"/>
        </w:rPr>
        <w:t xml:space="preserve">candidatos </w:t>
      </w:r>
      <w:r>
        <w:rPr>
          <w:rFonts w:ascii="DINPro" w:hAnsi="DINPro"/>
          <w:sz w:val="20"/>
          <w:szCs w:val="20"/>
        </w:rPr>
        <w:t>y candidatas</w:t>
      </w:r>
      <w:r w:rsidR="000038C3" w:rsidRPr="00C94431">
        <w:rPr>
          <w:rFonts w:ascii="DINPro" w:hAnsi="DINPro"/>
          <w:sz w:val="20"/>
          <w:szCs w:val="20"/>
        </w:rPr>
        <w:t xml:space="preserve"> tienen el desafío de responder a las necesidades que tiene la población sobre el servicio de transporte, por ejemplo: </w:t>
      </w:r>
    </w:p>
    <w:p w14:paraId="12CFECE7" w14:textId="4583C87B" w:rsidR="006E190D" w:rsidRPr="001F30FF" w:rsidRDefault="006E190D" w:rsidP="006E190D">
      <w:pPr>
        <w:spacing w:after="150" w:line="240" w:lineRule="atLeast"/>
        <w:ind w:left="426"/>
        <w:jc w:val="both"/>
        <w:rPr>
          <w:rFonts w:ascii="DINPro" w:hAnsi="DINPro"/>
          <w:i/>
          <w:sz w:val="20"/>
          <w:szCs w:val="20"/>
        </w:rPr>
      </w:pPr>
      <w:r w:rsidRPr="001F30FF">
        <w:rPr>
          <w:rFonts w:ascii="DINPro" w:hAnsi="DINPro"/>
          <w:i/>
          <w:sz w:val="20"/>
          <w:szCs w:val="20"/>
        </w:rPr>
        <w:t>¿Cómo pretende</w:t>
      </w:r>
      <w:r>
        <w:rPr>
          <w:rFonts w:ascii="DINPro" w:hAnsi="DINPro"/>
          <w:i/>
          <w:sz w:val="20"/>
          <w:szCs w:val="20"/>
        </w:rPr>
        <w:t>n</w:t>
      </w:r>
      <w:r w:rsidRPr="001F30FF">
        <w:rPr>
          <w:rFonts w:ascii="DINPro" w:hAnsi="DINPro"/>
          <w:i/>
          <w:sz w:val="20"/>
          <w:szCs w:val="20"/>
        </w:rPr>
        <w:t xml:space="preserve"> mejorar el acceso, la calidad y seguridad del servicio de transporte?</w:t>
      </w:r>
    </w:p>
    <w:p w14:paraId="5568D814" w14:textId="6970844F" w:rsidR="000038C3" w:rsidRPr="00C94431" w:rsidRDefault="000038C3" w:rsidP="000038C3">
      <w:pPr>
        <w:spacing w:after="120" w:line="240" w:lineRule="atLeast"/>
        <w:ind w:left="426" w:right="418"/>
        <w:jc w:val="both"/>
        <w:rPr>
          <w:rFonts w:ascii="DINPro" w:hAnsi="DINPro"/>
          <w:i/>
          <w:sz w:val="20"/>
          <w:szCs w:val="20"/>
        </w:rPr>
      </w:pPr>
      <w:r w:rsidRPr="00C94431">
        <w:rPr>
          <w:rFonts w:ascii="DINPro" w:hAnsi="DINPro"/>
          <w:i/>
          <w:sz w:val="20"/>
          <w:szCs w:val="20"/>
        </w:rPr>
        <w:t xml:space="preserve">¿Cómo se puede lograr que </w:t>
      </w:r>
      <w:r w:rsidR="006702AB">
        <w:rPr>
          <w:rFonts w:ascii="DINPro" w:hAnsi="DINPro"/>
          <w:i/>
          <w:sz w:val="20"/>
          <w:szCs w:val="20"/>
        </w:rPr>
        <w:t xml:space="preserve">la ejecución de </w:t>
      </w:r>
      <w:r w:rsidRPr="00C94431">
        <w:rPr>
          <w:rFonts w:ascii="DINPro" w:hAnsi="DINPro"/>
          <w:i/>
          <w:sz w:val="20"/>
          <w:szCs w:val="20"/>
        </w:rPr>
        <w:t>megaproyectos viales para e</w:t>
      </w:r>
      <w:r w:rsidR="006702AB">
        <w:rPr>
          <w:rFonts w:ascii="DINPro" w:hAnsi="DINPro"/>
          <w:i/>
          <w:sz w:val="20"/>
          <w:szCs w:val="20"/>
        </w:rPr>
        <w:t>l transporte masivo no implique</w:t>
      </w:r>
      <w:r w:rsidRPr="00C94431">
        <w:rPr>
          <w:rFonts w:ascii="DINPro" w:hAnsi="DINPro"/>
          <w:i/>
          <w:sz w:val="20"/>
          <w:szCs w:val="20"/>
        </w:rPr>
        <w:t xml:space="preserve"> renunciar a entornos verdes?</w:t>
      </w:r>
    </w:p>
    <w:p w14:paraId="32365DFE" w14:textId="77777777" w:rsidR="000038C3" w:rsidRPr="00C94431" w:rsidRDefault="000038C3" w:rsidP="000038C3">
      <w:pPr>
        <w:spacing w:after="120" w:line="240" w:lineRule="atLeast"/>
        <w:ind w:left="426" w:right="418"/>
        <w:jc w:val="both"/>
        <w:rPr>
          <w:rFonts w:ascii="DINPro" w:hAnsi="DINPro"/>
          <w:i/>
          <w:sz w:val="20"/>
          <w:szCs w:val="20"/>
        </w:rPr>
      </w:pPr>
      <w:r w:rsidRPr="00C94431">
        <w:rPr>
          <w:rFonts w:ascii="DINPro" w:hAnsi="DINPro"/>
          <w:i/>
          <w:sz w:val="20"/>
          <w:szCs w:val="20"/>
        </w:rPr>
        <w:t xml:space="preserve">¿Qué políticas públicas pueden fortalecer una cultura ciudadana para el transporte alternativo no dependiente de energías contaminantes? </w:t>
      </w:r>
    </w:p>
    <w:p w14:paraId="3584C1A1" w14:textId="77777777" w:rsidR="001F30FF" w:rsidRDefault="001F30FF" w:rsidP="001F30FF">
      <w:pPr>
        <w:spacing w:after="150" w:line="240" w:lineRule="atLeast"/>
        <w:ind w:left="426"/>
        <w:jc w:val="both"/>
        <w:rPr>
          <w:rFonts w:ascii="DINPro" w:hAnsi="DINPro"/>
          <w:i/>
          <w:sz w:val="20"/>
          <w:szCs w:val="20"/>
        </w:rPr>
      </w:pPr>
      <w:r w:rsidRPr="001F30FF">
        <w:rPr>
          <w:rFonts w:ascii="DINPro" w:hAnsi="DINPro"/>
          <w:i/>
          <w:sz w:val="20"/>
          <w:szCs w:val="20"/>
        </w:rPr>
        <w:t>¿Cuáles son los principales planteamientos para una planificación intermunicipal del transporte y cuál sería la intervención del gobierno departamental? </w:t>
      </w:r>
    </w:p>
    <w:p w14:paraId="212DD9C4" w14:textId="68418B71" w:rsidR="007E4B81" w:rsidRPr="00FF26F6" w:rsidRDefault="006702AB" w:rsidP="00FF26F6">
      <w:pPr>
        <w:spacing w:after="120" w:line="240" w:lineRule="atLeast"/>
        <w:ind w:left="426" w:right="418"/>
        <w:jc w:val="both"/>
        <w:rPr>
          <w:rFonts w:ascii="DINPro" w:hAnsi="DINPro"/>
          <w:i/>
          <w:sz w:val="20"/>
          <w:szCs w:val="20"/>
        </w:rPr>
      </w:pPr>
      <w:r w:rsidRPr="00C94431">
        <w:rPr>
          <w:rFonts w:ascii="DINPro" w:hAnsi="DINPro"/>
          <w:i/>
          <w:sz w:val="20"/>
          <w:szCs w:val="20"/>
        </w:rPr>
        <w:t>¿Cómo piensa asegurar el sostenimiento de su propuesta?</w:t>
      </w:r>
    </w:p>
    <w:p w14:paraId="34C941CA" w14:textId="7DEC73CD" w:rsidR="00990701" w:rsidRPr="00990701" w:rsidRDefault="00021843" w:rsidP="00C94431">
      <w:pPr>
        <w:spacing w:after="120" w:line="240" w:lineRule="atLeast"/>
        <w:rPr>
          <w:rFonts w:ascii="Helvetica" w:hAnsi="Helvetica" w:cs="Times New Roman"/>
          <w:i/>
          <w:sz w:val="16"/>
          <w:szCs w:val="16"/>
          <w:lang w:eastAsia="es-ES_tradnl"/>
        </w:rPr>
      </w:pPr>
      <w:r>
        <w:rPr>
          <w:rFonts w:ascii="Helvetica" w:hAnsi="Helvetica" w:cs="Times New Roman"/>
          <w:i/>
          <w:sz w:val="16"/>
          <w:szCs w:val="16"/>
          <w:lang w:eastAsia="es-ES_tradnl"/>
        </w:rPr>
        <w:br/>
        <w:t xml:space="preserve">Serie: </w:t>
      </w:r>
      <w:r>
        <w:rPr>
          <w:rFonts w:ascii="Helvetica" w:hAnsi="Helvetica" w:cs="Times New Roman"/>
          <w:i/>
          <w:sz w:val="16"/>
          <w:szCs w:val="16"/>
          <w:lang w:eastAsia="es-ES_tradnl"/>
        </w:rPr>
        <w:br/>
        <w:t>10 temas clave para la gestión de gobernaciones y municipios</w:t>
      </w:r>
      <w:r>
        <w:rPr>
          <w:rFonts w:ascii="Helvetica" w:hAnsi="Helvetica" w:cs="Times New Roman"/>
          <w:i/>
          <w:sz w:val="16"/>
          <w:szCs w:val="16"/>
          <w:lang w:eastAsia="es-ES_tradnl"/>
        </w:rPr>
        <w:br/>
      </w:r>
      <w:proofErr w:type="gramStart"/>
      <w:r>
        <w:rPr>
          <w:rFonts w:ascii="Helvetica" w:hAnsi="Helvetica" w:cs="Times New Roman"/>
          <w:i/>
          <w:sz w:val="16"/>
          <w:szCs w:val="16"/>
          <w:lang w:eastAsia="es-ES_tradnl"/>
        </w:rPr>
        <w:t>F</w:t>
      </w:r>
      <w:r w:rsidRPr="00990701">
        <w:rPr>
          <w:rFonts w:ascii="Helvetica" w:hAnsi="Helvetica" w:cs="Times New Roman"/>
          <w:i/>
          <w:sz w:val="16"/>
          <w:szCs w:val="16"/>
          <w:lang w:eastAsia="es-ES_tradnl"/>
        </w:rPr>
        <w:t>ebrero</w:t>
      </w:r>
      <w:proofErr w:type="gramEnd"/>
      <w:r w:rsidRPr="00990701">
        <w:rPr>
          <w:rFonts w:ascii="Helvetica" w:hAnsi="Helvetica" w:cs="Times New Roman"/>
          <w:i/>
          <w:sz w:val="16"/>
          <w:szCs w:val="16"/>
          <w:lang w:eastAsia="es-ES_tradnl"/>
        </w:rPr>
        <w:t xml:space="preserve"> 2021</w:t>
      </w:r>
    </w:p>
    <w:sectPr w:rsidR="00990701" w:rsidRPr="00990701" w:rsidSect="00A25C31">
      <w:headerReference w:type="default" r:id="rId9"/>
      <w:footerReference w:type="default" r:id="rId10"/>
      <w:pgSz w:w="11900" w:h="16840"/>
      <w:pgMar w:top="913" w:right="1701" w:bottom="1378" w:left="1701" w:header="0" w:footer="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ADB404" w14:textId="77777777" w:rsidR="00C8451A" w:rsidRDefault="00C8451A" w:rsidP="00F05DBF">
      <w:r>
        <w:separator/>
      </w:r>
    </w:p>
  </w:endnote>
  <w:endnote w:type="continuationSeparator" w:id="0">
    <w:p w14:paraId="647477F2" w14:textId="77777777" w:rsidR="00C8451A" w:rsidRDefault="00C8451A" w:rsidP="00F0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kzidenz-Grotesk BQ">
    <w:charset w:val="00"/>
    <w:family w:val="auto"/>
    <w:pitch w:val="variable"/>
    <w:sig w:usb0="8000002F" w:usb1="0000000A" w:usb2="00000000" w:usb3="00000000" w:csb0="00000111" w:csb1="00000000"/>
  </w:font>
  <w:font w:name="Abel">
    <w:panose1 w:val="020005060300000200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DINPro">
    <w:panose1 w:val="02000503030000020004"/>
    <w:charset w:val="00"/>
    <w:family w:val="auto"/>
    <w:pitch w:val="variable"/>
    <w:sig w:usb0="800002AF" w:usb1="4000206A"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781A7" w14:textId="77777777" w:rsidR="00F05DBF" w:rsidRDefault="00F05DBF" w:rsidP="00F05DBF">
    <w:pPr>
      <w:pStyle w:val="Piedepgina"/>
      <w:ind w:left="-1701"/>
    </w:pPr>
    <w:r>
      <w:rPr>
        <w:noProof/>
        <w:lang w:eastAsia="es-ES_tradnl"/>
      </w:rPr>
      <w:drawing>
        <wp:inline distT="0" distB="0" distL="0" distR="0" wp14:anchorId="3B94B60A" wp14:editId="53187154">
          <wp:extent cx="7595057" cy="659130"/>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tilla nota de prensa E 2021.jpg"/>
                  <pic:cNvPicPr/>
                </pic:nvPicPr>
                <pic:blipFill rotWithShape="1">
                  <a:blip r:embed="rId1">
                    <a:extLst>
                      <a:ext uri="{28A0092B-C50C-407E-A947-70E740481C1C}">
                        <a14:useLocalDpi xmlns:a14="http://schemas.microsoft.com/office/drawing/2010/main" val="0"/>
                      </a:ext>
                    </a:extLst>
                  </a:blip>
                  <a:srcRect t="93294"/>
                  <a:stretch/>
                </pic:blipFill>
                <pic:spPr bwMode="auto">
                  <a:xfrm>
                    <a:off x="0" y="0"/>
                    <a:ext cx="7665624" cy="665254"/>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D558A" w14:textId="77777777" w:rsidR="00C8451A" w:rsidRDefault="00C8451A" w:rsidP="00F05DBF">
      <w:r>
        <w:separator/>
      </w:r>
    </w:p>
  </w:footnote>
  <w:footnote w:type="continuationSeparator" w:id="0">
    <w:p w14:paraId="76973AE2" w14:textId="77777777" w:rsidR="00C8451A" w:rsidRDefault="00C8451A" w:rsidP="00F05D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7B737" w14:textId="77777777" w:rsidR="00F05DBF" w:rsidRDefault="00F05DBF" w:rsidP="00F05DBF">
    <w:pPr>
      <w:pStyle w:val="Encabezado"/>
      <w:ind w:left="-1701"/>
    </w:pPr>
    <w:r>
      <w:rPr>
        <w:noProof/>
        <w:lang w:eastAsia="es-ES_tradnl"/>
      </w:rPr>
      <w:drawing>
        <wp:inline distT="0" distB="0" distL="0" distR="0" wp14:anchorId="066D8392" wp14:editId="325D2D04">
          <wp:extent cx="7594600" cy="1790700"/>
          <wp:effectExtent l="0" t="0" r="0" b="1270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tilla nota de prensa E 2021.jpg"/>
                  <pic:cNvPicPr/>
                </pic:nvPicPr>
                <pic:blipFill rotWithShape="1">
                  <a:blip r:embed="rId1">
                    <a:extLst>
                      <a:ext uri="{28A0092B-C50C-407E-A947-70E740481C1C}">
                        <a14:useLocalDpi xmlns:a14="http://schemas.microsoft.com/office/drawing/2010/main" val="0"/>
                      </a:ext>
                    </a:extLst>
                  </a:blip>
                  <a:srcRect b="82564"/>
                  <a:stretch/>
                </pic:blipFill>
                <pic:spPr bwMode="auto">
                  <a:xfrm>
                    <a:off x="0" y="0"/>
                    <a:ext cx="7595059" cy="179080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D307FB"/>
    <w:multiLevelType w:val="hybridMultilevel"/>
    <w:tmpl w:val="B4FA7A04"/>
    <w:lvl w:ilvl="0" w:tplc="0292F89A">
      <w:start w:val="2"/>
      <w:numFmt w:val="bullet"/>
      <w:lvlText w:val=""/>
      <w:lvlJc w:val="left"/>
      <w:pPr>
        <w:ind w:left="720" w:hanging="360"/>
      </w:pPr>
      <w:rPr>
        <w:rFonts w:ascii="Symbol" w:eastAsiaTheme="minorHAnsi" w:hAnsi="Symbol" w:cstheme="minorBid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nsid w:val="584D42F5"/>
    <w:multiLevelType w:val="hybridMultilevel"/>
    <w:tmpl w:val="5B24E472"/>
    <w:lvl w:ilvl="0" w:tplc="AB242922">
      <w:numFmt w:val="bullet"/>
      <w:lvlText w:val=""/>
      <w:lvlJc w:val="left"/>
      <w:pPr>
        <w:ind w:left="720" w:hanging="360"/>
      </w:pPr>
      <w:rPr>
        <w:rFonts w:ascii="Symbol" w:eastAsiaTheme="minorHAnsi" w:hAnsi="Symbol" w:cstheme="minorBid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nsid w:val="59E90890"/>
    <w:multiLevelType w:val="hybridMultilevel"/>
    <w:tmpl w:val="AC966D6E"/>
    <w:lvl w:ilvl="0" w:tplc="B15ED7F0">
      <w:start w:val="12"/>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BF"/>
    <w:rsid w:val="000038C3"/>
    <w:rsid w:val="00021843"/>
    <w:rsid w:val="000400EB"/>
    <w:rsid w:val="000511EA"/>
    <w:rsid w:val="00097B3A"/>
    <w:rsid w:val="000B4E65"/>
    <w:rsid w:val="000B7AAB"/>
    <w:rsid w:val="000D47FF"/>
    <w:rsid w:val="000E2C7C"/>
    <w:rsid w:val="00126F51"/>
    <w:rsid w:val="00131E98"/>
    <w:rsid w:val="00166578"/>
    <w:rsid w:val="001A5C68"/>
    <w:rsid w:val="001D2EB6"/>
    <w:rsid w:val="001F191A"/>
    <w:rsid w:val="001F30FF"/>
    <w:rsid w:val="002A5543"/>
    <w:rsid w:val="002B48EC"/>
    <w:rsid w:val="003102A6"/>
    <w:rsid w:val="00327598"/>
    <w:rsid w:val="003961F9"/>
    <w:rsid w:val="003D2B3D"/>
    <w:rsid w:val="003D5035"/>
    <w:rsid w:val="0041748B"/>
    <w:rsid w:val="00462D7E"/>
    <w:rsid w:val="00535EED"/>
    <w:rsid w:val="005B601C"/>
    <w:rsid w:val="005C4DA2"/>
    <w:rsid w:val="005E405C"/>
    <w:rsid w:val="005F6A1F"/>
    <w:rsid w:val="0061365F"/>
    <w:rsid w:val="0064182F"/>
    <w:rsid w:val="00645D0B"/>
    <w:rsid w:val="006702AB"/>
    <w:rsid w:val="006773A2"/>
    <w:rsid w:val="00683EF4"/>
    <w:rsid w:val="006A19E2"/>
    <w:rsid w:val="006E190D"/>
    <w:rsid w:val="006F71B0"/>
    <w:rsid w:val="00745FF5"/>
    <w:rsid w:val="00755BE4"/>
    <w:rsid w:val="007A3B66"/>
    <w:rsid w:val="007E4B81"/>
    <w:rsid w:val="00813E05"/>
    <w:rsid w:val="00813E68"/>
    <w:rsid w:val="008429D0"/>
    <w:rsid w:val="00855E2F"/>
    <w:rsid w:val="008965DA"/>
    <w:rsid w:val="008B0169"/>
    <w:rsid w:val="008B027A"/>
    <w:rsid w:val="008C0132"/>
    <w:rsid w:val="009854DB"/>
    <w:rsid w:val="00990701"/>
    <w:rsid w:val="009D1BBE"/>
    <w:rsid w:val="009F3490"/>
    <w:rsid w:val="00A2031D"/>
    <w:rsid w:val="00A25C31"/>
    <w:rsid w:val="00A41356"/>
    <w:rsid w:val="00A565AC"/>
    <w:rsid w:val="00AB75A3"/>
    <w:rsid w:val="00B14002"/>
    <w:rsid w:val="00B3271F"/>
    <w:rsid w:val="00B35258"/>
    <w:rsid w:val="00B96CBB"/>
    <w:rsid w:val="00BE231A"/>
    <w:rsid w:val="00C16800"/>
    <w:rsid w:val="00C210EA"/>
    <w:rsid w:val="00C31E51"/>
    <w:rsid w:val="00C34C7B"/>
    <w:rsid w:val="00C37EE6"/>
    <w:rsid w:val="00C45F98"/>
    <w:rsid w:val="00C5434B"/>
    <w:rsid w:val="00C8451A"/>
    <w:rsid w:val="00C94431"/>
    <w:rsid w:val="00CD64C6"/>
    <w:rsid w:val="00CE52D6"/>
    <w:rsid w:val="00CF3778"/>
    <w:rsid w:val="00D4475E"/>
    <w:rsid w:val="00D452BA"/>
    <w:rsid w:val="00D663C0"/>
    <w:rsid w:val="00D81BA8"/>
    <w:rsid w:val="00DB624F"/>
    <w:rsid w:val="00DB70CC"/>
    <w:rsid w:val="00DD01DF"/>
    <w:rsid w:val="00DE63EE"/>
    <w:rsid w:val="00E1431E"/>
    <w:rsid w:val="00E3093C"/>
    <w:rsid w:val="00E32D91"/>
    <w:rsid w:val="00E377F6"/>
    <w:rsid w:val="00E46A40"/>
    <w:rsid w:val="00E74DD6"/>
    <w:rsid w:val="00E971EA"/>
    <w:rsid w:val="00EC4EFE"/>
    <w:rsid w:val="00EC5AC7"/>
    <w:rsid w:val="00F05DBF"/>
    <w:rsid w:val="00F268A5"/>
    <w:rsid w:val="00F2767A"/>
    <w:rsid w:val="00F438EB"/>
    <w:rsid w:val="00F44803"/>
    <w:rsid w:val="00F84ABF"/>
    <w:rsid w:val="00F94D9A"/>
    <w:rsid w:val="00FF26F6"/>
    <w:rsid w:val="00FF5294"/>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0793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5DBF"/>
    <w:pPr>
      <w:tabs>
        <w:tab w:val="center" w:pos="4252"/>
        <w:tab w:val="right" w:pos="8504"/>
      </w:tabs>
    </w:pPr>
  </w:style>
  <w:style w:type="character" w:customStyle="1" w:styleId="EncabezadoCar">
    <w:name w:val="Encabezado Car"/>
    <w:basedOn w:val="Fuentedeprrafopredeter"/>
    <w:link w:val="Encabezado"/>
    <w:uiPriority w:val="99"/>
    <w:rsid w:val="00F05DBF"/>
  </w:style>
  <w:style w:type="paragraph" w:styleId="Piedepgina">
    <w:name w:val="footer"/>
    <w:basedOn w:val="Normal"/>
    <w:link w:val="PiedepginaCar"/>
    <w:uiPriority w:val="99"/>
    <w:unhideWhenUsed/>
    <w:rsid w:val="00F05DBF"/>
    <w:pPr>
      <w:tabs>
        <w:tab w:val="center" w:pos="4252"/>
        <w:tab w:val="right" w:pos="8504"/>
      </w:tabs>
    </w:pPr>
  </w:style>
  <w:style w:type="character" w:customStyle="1" w:styleId="PiedepginaCar">
    <w:name w:val="Pie de página Car"/>
    <w:basedOn w:val="Fuentedeprrafopredeter"/>
    <w:link w:val="Piedepgina"/>
    <w:uiPriority w:val="99"/>
    <w:rsid w:val="00F05DBF"/>
  </w:style>
  <w:style w:type="paragraph" w:customStyle="1" w:styleId="p1">
    <w:name w:val="p1"/>
    <w:basedOn w:val="Normal"/>
    <w:rsid w:val="00F05DBF"/>
    <w:rPr>
      <w:rFonts w:ascii="Akzidenz-Grotesk BQ" w:hAnsi="Akzidenz-Grotesk BQ" w:cs="Times New Roman"/>
      <w:color w:val="000006"/>
      <w:sz w:val="30"/>
      <w:szCs w:val="30"/>
      <w:lang w:eastAsia="es-ES_tradnl"/>
    </w:rPr>
  </w:style>
  <w:style w:type="paragraph" w:customStyle="1" w:styleId="p2">
    <w:name w:val="p2"/>
    <w:basedOn w:val="Normal"/>
    <w:rsid w:val="00F05DBF"/>
    <w:pPr>
      <w:jc w:val="both"/>
    </w:pPr>
    <w:rPr>
      <w:rFonts w:ascii="Abel" w:hAnsi="Abel" w:cs="Times New Roman"/>
      <w:sz w:val="18"/>
      <w:szCs w:val="18"/>
      <w:lang w:eastAsia="es-ES_tradnl"/>
    </w:rPr>
  </w:style>
  <w:style w:type="character" w:customStyle="1" w:styleId="s1">
    <w:name w:val="s1"/>
    <w:basedOn w:val="Fuentedeprrafopredeter"/>
    <w:rsid w:val="00F05DBF"/>
  </w:style>
  <w:style w:type="character" w:customStyle="1" w:styleId="apple-converted-space">
    <w:name w:val="apple-converted-space"/>
    <w:basedOn w:val="Fuentedeprrafopredeter"/>
    <w:rsid w:val="00F05DBF"/>
  </w:style>
  <w:style w:type="paragraph" w:customStyle="1" w:styleId="p3">
    <w:name w:val="p3"/>
    <w:basedOn w:val="Normal"/>
    <w:rsid w:val="006773A2"/>
    <w:pPr>
      <w:spacing w:after="120"/>
      <w:jc w:val="both"/>
    </w:pPr>
    <w:rPr>
      <w:rFonts w:ascii="Calibri" w:hAnsi="Calibri" w:cs="Times New Roman"/>
      <w:sz w:val="17"/>
      <w:szCs w:val="17"/>
      <w:lang w:eastAsia="es-ES_tradnl"/>
    </w:rPr>
  </w:style>
  <w:style w:type="character" w:customStyle="1" w:styleId="apple-tab-span">
    <w:name w:val="apple-tab-span"/>
    <w:basedOn w:val="Fuentedeprrafopredeter"/>
    <w:rsid w:val="006773A2"/>
  </w:style>
  <w:style w:type="paragraph" w:styleId="Prrafodelista">
    <w:name w:val="List Paragraph"/>
    <w:basedOn w:val="Normal"/>
    <w:uiPriority w:val="34"/>
    <w:qFormat/>
    <w:rsid w:val="00DD01DF"/>
    <w:pPr>
      <w:ind w:left="720"/>
      <w:contextualSpacing/>
    </w:pPr>
  </w:style>
  <w:style w:type="paragraph" w:styleId="NormalWeb">
    <w:name w:val="Normal (Web)"/>
    <w:basedOn w:val="Normal"/>
    <w:uiPriority w:val="99"/>
    <w:unhideWhenUsed/>
    <w:rsid w:val="00D663C0"/>
    <w:pPr>
      <w:spacing w:before="100" w:beforeAutospacing="1" w:after="100" w:afterAutospacing="1"/>
    </w:pPr>
    <w:rPr>
      <w:rFonts w:ascii="Times New Roman" w:hAnsi="Times New Roman" w:cs="Times New Roman"/>
      <w:lang w:eastAsia="es-ES_tradnl"/>
    </w:rPr>
  </w:style>
  <w:style w:type="character" w:customStyle="1" w:styleId="s2">
    <w:name w:val="s2"/>
    <w:basedOn w:val="Fuentedeprrafopredeter"/>
    <w:rsid w:val="007E4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04419">
      <w:bodyDiv w:val="1"/>
      <w:marLeft w:val="0"/>
      <w:marRight w:val="0"/>
      <w:marTop w:val="0"/>
      <w:marBottom w:val="0"/>
      <w:divBdr>
        <w:top w:val="none" w:sz="0" w:space="0" w:color="auto"/>
        <w:left w:val="none" w:sz="0" w:space="0" w:color="auto"/>
        <w:bottom w:val="none" w:sz="0" w:space="0" w:color="auto"/>
        <w:right w:val="none" w:sz="0" w:space="0" w:color="auto"/>
      </w:divBdr>
    </w:div>
    <w:div w:id="468400711">
      <w:bodyDiv w:val="1"/>
      <w:marLeft w:val="0"/>
      <w:marRight w:val="0"/>
      <w:marTop w:val="0"/>
      <w:marBottom w:val="0"/>
      <w:divBdr>
        <w:top w:val="none" w:sz="0" w:space="0" w:color="auto"/>
        <w:left w:val="none" w:sz="0" w:space="0" w:color="auto"/>
        <w:bottom w:val="none" w:sz="0" w:space="0" w:color="auto"/>
        <w:right w:val="none" w:sz="0" w:space="0" w:color="auto"/>
      </w:divBdr>
    </w:div>
    <w:div w:id="693000300">
      <w:bodyDiv w:val="1"/>
      <w:marLeft w:val="0"/>
      <w:marRight w:val="0"/>
      <w:marTop w:val="0"/>
      <w:marBottom w:val="0"/>
      <w:divBdr>
        <w:top w:val="none" w:sz="0" w:space="0" w:color="auto"/>
        <w:left w:val="none" w:sz="0" w:space="0" w:color="auto"/>
        <w:bottom w:val="none" w:sz="0" w:space="0" w:color="auto"/>
        <w:right w:val="none" w:sz="0" w:space="0" w:color="auto"/>
      </w:divBdr>
    </w:div>
    <w:div w:id="931861145">
      <w:bodyDiv w:val="1"/>
      <w:marLeft w:val="0"/>
      <w:marRight w:val="0"/>
      <w:marTop w:val="0"/>
      <w:marBottom w:val="0"/>
      <w:divBdr>
        <w:top w:val="none" w:sz="0" w:space="0" w:color="auto"/>
        <w:left w:val="none" w:sz="0" w:space="0" w:color="auto"/>
        <w:bottom w:val="none" w:sz="0" w:space="0" w:color="auto"/>
        <w:right w:val="none" w:sz="0" w:space="0" w:color="auto"/>
      </w:divBdr>
    </w:div>
    <w:div w:id="1280798160">
      <w:bodyDiv w:val="1"/>
      <w:marLeft w:val="0"/>
      <w:marRight w:val="0"/>
      <w:marTop w:val="0"/>
      <w:marBottom w:val="0"/>
      <w:divBdr>
        <w:top w:val="none" w:sz="0" w:space="0" w:color="auto"/>
        <w:left w:val="none" w:sz="0" w:space="0" w:color="auto"/>
        <w:bottom w:val="none" w:sz="0" w:space="0" w:color="auto"/>
        <w:right w:val="none" w:sz="0" w:space="0" w:color="auto"/>
      </w:divBdr>
    </w:div>
    <w:div w:id="1410811553">
      <w:bodyDiv w:val="1"/>
      <w:marLeft w:val="0"/>
      <w:marRight w:val="0"/>
      <w:marTop w:val="0"/>
      <w:marBottom w:val="0"/>
      <w:divBdr>
        <w:top w:val="none" w:sz="0" w:space="0" w:color="auto"/>
        <w:left w:val="none" w:sz="0" w:space="0" w:color="auto"/>
        <w:bottom w:val="none" w:sz="0" w:space="0" w:color="auto"/>
        <w:right w:val="none" w:sz="0" w:space="0" w:color="auto"/>
      </w:divBdr>
    </w:div>
    <w:div w:id="1472945189">
      <w:bodyDiv w:val="1"/>
      <w:marLeft w:val="0"/>
      <w:marRight w:val="0"/>
      <w:marTop w:val="0"/>
      <w:marBottom w:val="0"/>
      <w:divBdr>
        <w:top w:val="none" w:sz="0" w:space="0" w:color="auto"/>
        <w:left w:val="none" w:sz="0" w:space="0" w:color="auto"/>
        <w:bottom w:val="none" w:sz="0" w:space="0" w:color="auto"/>
        <w:right w:val="none" w:sz="0" w:space="0" w:color="auto"/>
      </w:divBdr>
    </w:div>
    <w:div w:id="1620723029">
      <w:bodyDiv w:val="1"/>
      <w:marLeft w:val="0"/>
      <w:marRight w:val="0"/>
      <w:marTop w:val="0"/>
      <w:marBottom w:val="0"/>
      <w:divBdr>
        <w:top w:val="none" w:sz="0" w:space="0" w:color="auto"/>
        <w:left w:val="none" w:sz="0" w:space="0" w:color="auto"/>
        <w:bottom w:val="none" w:sz="0" w:space="0" w:color="auto"/>
        <w:right w:val="none" w:sz="0" w:space="0" w:color="auto"/>
      </w:divBdr>
    </w:div>
    <w:div w:id="1748501322">
      <w:bodyDiv w:val="1"/>
      <w:marLeft w:val="0"/>
      <w:marRight w:val="0"/>
      <w:marTop w:val="0"/>
      <w:marBottom w:val="0"/>
      <w:divBdr>
        <w:top w:val="none" w:sz="0" w:space="0" w:color="auto"/>
        <w:left w:val="none" w:sz="0" w:space="0" w:color="auto"/>
        <w:bottom w:val="none" w:sz="0" w:space="0" w:color="auto"/>
        <w:right w:val="none" w:sz="0" w:space="0" w:color="auto"/>
      </w:divBdr>
    </w:div>
    <w:div w:id="1859663106">
      <w:bodyDiv w:val="1"/>
      <w:marLeft w:val="0"/>
      <w:marRight w:val="0"/>
      <w:marTop w:val="0"/>
      <w:marBottom w:val="0"/>
      <w:divBdr>
        <w:top w:val="none" w:sz="0" w:space="0" w:color="auto"/>
        <w:left w:val="none" w:sz="0" w:space="0" w:color="auto"/>
        <w:bottom w:val="none" w:sz="0" w:space="0" w:color="auto"/>
        <w:right w:val="none" w:sz="0" w:space="0" w:color="auto"/>
      </w:divBdr>
    </w:div>
    <w:div w:id="1889612324">
      <w:bodyDiv w:val="1"/>
      <w:marLeft w:val="0"/>
      <w:marRight w:val="0"/>
      <w:marTop w:val="0"/>
      <w:marBottom w:val="0"/>
      <w:divBdr>
        <w:top w:val="none" w:sz="0" w:space="0" w:color="auto"/>
        <w:left w:val="none" w:sz="0" w:space="0" w:color="auto"/>
        <w:bottom w:val="none" w:sz="0" w:space="0" w:color="auto"/>
        <w:right w:val="none" w:sz="0" w:space="0" w:color="auto"/>
      </w:divBdr>
    </w:div>
    <w:div w:id="20139532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848</Words>
  <Characters>4669</Characters>
  <Application>Microsoft Macintosh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3</cp:revision>
  <dcterms:created xsi:type="dcterms:W3CDTF">2021-02-22T17:40:00Z</dcterms:created>
  <dcterms:modified xsi:type="dcterms:W3CDTF">2021-02-22T17:46:00Z</dcterms:modified>
</cp:coreProperties>
</file>